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5"/>
          <w:szCs w:val="25"/>
        </w:rPr>
      </w:pPr>
    </w:p>
    <w:p>
      <w:pPr>
        <w:pStyle w:val="Heading2"/>
        <w:spacing w:line="539" w:lineRule="exact" w:before="0"/>
        <w:ind w:right="381"/>
        <w:jc w:val="center"/>
      </w:pPr>
      <w:r>
        <w:rPr>
          <w:spacing w:val="-38"/>
        </w:rPr>
        <w:t>江苏省沿海开发集团有限公司关于</w:t>
      </w:r>
    </w:p>
    <w:p>
      <w:pPr>
        <w:spacing w:line="333" w:lineRule="auto" w:before="226"/>
        <w:ind w:left="417" w:right="379" w:firstLine="0"/>
        <w:jc w:val="center"/>
        <w:rPr>
          <w:rFonts w:ascii="仿宋" w:hAnsi="仿宋" w:cs="仿宋" w:eastAsia="仿宋"/>
          <w:sz w:val="44"/>
          <w:szCs w:val="44"/>
        </w:rPr>
      </w:pPr>
      <w:r>
        <w:rPr>
          <w:rFonts w:ascii="仿宋" w:hAnsi="仿宋" w:cs="仿宋" w:eastAsia="仿宋"/>
          <w:spacing w:val="-39"/>
          <w:sz w:val="44"/>
          <w:szCs w:val="44"/>
        </w:rPr>
        <w:t>牙鲆鱼养殖示范开发项目中涉及资产的市场价值</w:t>
      </w:r>
      <w:r>
        <w:rPr>
          <w:rFonts w:ascii="仿宋" w:hAnsi="仿宋" w:cs="仿宋" w:eastAsia="仿宋"/>
          <w:w w:val="99"/>
          <w:sz w:val="44"/>
          <w:szCs w:val="44"/>
        </w:rPr>
        <w:t> </w:t>
      </w:r>
      <w:r>
        <w:rPr>
          <w:rFonts w:ascii="仿宋" w:hAnsi="仿宋" w:cs="仿宋" w:eastAsia="仿宋"/>
          <w:spacing w:val="-33"/>
          <w:sz w:val="44"/>
          <w:szCs w:val="44"/>
        </w:rPr>
        <w:t>评估报告书</w:t>
      </w:r>
    </w:p>
    <w:p>
      <w:pPr>
        <w:spacing w:line="296" w:lineRule="exact" w:before="0"/>
        <w:ind w:left="415" w:right="413" w:firstLine="0"/>
        <w:jc w:val="center"/>
        <w:rPr>
          <w:rFonts w:ascii="仿宋" w:hAnsi="仿宋" w:cs="仿宋" w:eastAsia="仿宋"/>
          <w:sz w:val="21"/>
          <w:szCs w:val="21"/>
        </w:rPr>
      </w:pPr>
      <w:r>
        <w:rPr>
          <w:rFonts w:ascii="仿宋" w:hAnsi="仿宋" w:cs="仿宋" w:eastAsia="仿宋"/>
          <w:sz w:val="21"/>
          <w:szCs w:val="21"/>
        </w:rPr>
        <w:t>编号：苏金汇通评报字（</w:t>
      </w:r>
      <w:r>
        <w:rPr>
          <w:rFonts w:ascii="Calibri" w:hAnsi="Calibri" w:cs="Calibri" w:eastAsia="Calibri"/>
          <w:sz w:val="21"/>
          <w:szCs w:val="21"/>
        </w:rPr>
        <w:t>2018</w:t>
      </w:r>
      <w:r>
        <w:rPr>
          <w:rFonts w:ascii="仿宋" w:hAnsi="仿宋" w:cs="仿宋" w:eastAsia="仿宋"/>
          <w:sz w:val="21"/>
          <w:szCs w:val="21"/>
        </w:rPr>
        <w:t>）第</w:t>
      </w:r>
      <w:r>
        <w:rPr>
          <w:rFonts w:ascii="仿宋" w:hAnsi="仿宋" w:cs="仿宋" w:eastAsia="仿宋"/>
          <w:spacing w:val="-58"/>
          <w:sz w:val="21"/>
          <w:szCs w:val="21"/>
        </w:rPr>
        <w:t> </w:t>
      </w:r>
      <w:r>
        <w:rPr>
          <w:rFonts w:ascii="Calibri" w:hAnsi="Calibri" w:cs="Calibri" w:eastAsia="Calibri"/>
          <w:sz w:val="21"/>
          <w:szCs w:val="21"/>
        </w:rPr>
        <w:t>Z-169</w:t>
      </w:r>
      <w:r>
        <w:rPr>
          <w:rFonts w:ascii="Calibri" w:hAnsi="Calibri" w:cs="Calibri" w:eastAsia="Calibri"/>
          <w:spacing w:val="-4"/>
          <w:sz w:val="21"/>
          <w:szCs w:val="21"/>
        </w:rPr>
        <w:t> </w:t>
      </w:r>
      <w:r>
        <w:rPr>
          <w:rFonts w:ascii="仿宋" w:hAnsi="仿宋" w:cs="仿宋" w:eastAsia="仿宋"/>
          <w:sz w:val="21"/>
          <w:szCs w:val="21"/>
        </w:rPr>
        <w:t>号</w:t>
      </w: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0"/>
        <w:rPr>
          <w:rFonts w:ascii="仿宋" w:hAnsi="仿宋" w:cs="仿宋" w:eastAsia="仿宋"/>
          <w:sz w:val="22"/>
          <w:szCs w:val="22"/>
        </w:rPr>
      </w:pPr>
    </w:p>
    <w:p>
      <w:pPr>
        <w:spacing w:line="240" w:lineRule="auto" w:before="3"/>
        <w:rPr>
          <w:rFonts w:ascii="仿宋" w:hAnsi="仿宋" w:cs="仿宋" w:eastAsia="仿宋"/>
          <w:sz w:val="28"/>
          <w:szCs w:val="28"/>
        </w:rPr>
      </w:pPr>
    </w:p>
    <w:p>
      <w:pPr>
        <w:spacing w:line="480" w:lineRule="auto" w:before="0"/>
        <w:ind w:left="408" w:right="413" w:firstLine="0"/>
        <w:jc w:val="center"/>
        <w:rPr>
          <w:rFonts w:ascii="仿宋" w:hAnsi="仿宋" w:cs="仿宋" w:eastAsia="仿宋"/>
          <w:sz w:val="32"/>
          <w:szCs w:val="32"/>
        </w:rPr>
      </w:pPr>
      <w:r>
        <w:rPr>
          <w:rFonts w:ascii="仿宋" w:hAnsi="仿宋" w:cs="仿宋" w:eastAsia="仿宋"/>
          <w:spacing w:val="7"/>
          <w:sz w:val="32"/>
          <w:szCs w:val="32"/>
        </w:rPr>
        <w:t>江苏金汇通房地产资产评估造价咨询有限公司</w:t>
      </w:r>
      <w:r>
        <w:rPr>
          <w:rFonts w:ascii="仿宋" w:hAnsi="仿宋" w:cs="仿宋" w:eastAsia="仿宋"/>
          <w:w w:val="99"/>
          <w:sz w:val="32"/>
          <w:szCs w:val="32"/>
        </w:rPr>
        <w:t> </w:t>
      </w:r>
      <w:r>
        <w:rPr>
          <w:rFonts w:ascii="仿宋" w:hAnsi="仿宋" w:cs="仿宋" w:eastAsia="仿宋"/>
          <w:spacing w:val="7"/>
          <w:sz w:val="32"/>
          <w:szCs w:val="32"/>
        </w:rPr>
        <w:t>二Ｏ一八年九月三日</w:t>
      </w:r>
    </w:p>
    <w:p>
      <w:pPr>
        <w:spacing w:after="0" w:line="480" w:lineRule="auto"/>
        <w:jc w:val="center"/>
        <w:rPr>
          <w:rFonts w:ascii="仿宋" w:hAnsi="仿宋" w:cs="仿宋" w:eastAsia="仿宋"/>
          <w:sz w:val="32"/>
          <w:szCs w:val="32"/>
        </w:rPr>
        <w:sectPr>
          <w:headerReference w:type="default" r:id="rId5"/>
          <w:type w:val="continuous"/>
          <w:pgSz w:w="11910" w:h="16840"/>
          <w:pgMar w:header="878" w:top="1100" w:bottom="280" w:left="1300" w:right="1300"/>
        </w:sectPr>
      </w:pPr>
    </w:p>
    <w:p>
      <w:pPr>
        <w:spacing w:line="240" w:lineRule="auto" w:before="0"/>
        <w:rPr>
          <w:rFonts w:ascii="仿宋" w:hAnsi="仿宋" w:cs="仿宋" w:eastAsia="仿宋"/>
          <w:sz w:val="20"/>
          <w:szCs w:val="20"/>
        </w:rPr>
      </w:pPr>
    </w:p>
    <w:p>
      <w:pPr>
        <w:spacing w:line="240" w:lineRule="auto" w:before="0"/>
        <w:rPr>
          <w:rFonts w:ascii="仿宋" w:hAnsi="仿宋" w:cs="仿宋" w:eastAsia="仿宋"/>
          <w:sz w:val="20"/>
          <w:szCs w:val="20"/>
        </w:rPr>
      </w:pPr>
    </w:p>
    <w:p>
      <w:pPr>
        <w:spacing w:line="240" w:lineRule="auto" w:before="7"/>
        <w:rPr>
          <w:rFonts w:ascii="仿宋" w:hAnsi="仿宋" w:cs="仿宋" w:eastAsia="仿宋"/>
          <w:sz w:val="21"/>
          <w:szCs w:val="21"/>
        </w:rPr>
      </w:pPr>
    </w:p>
    <w:p>
      <w:pPr>
        <w:pStyle w:val="Heading1"/>
        <w:spacing w:line="539" w:lineRule="exact"/>
        <w:ind w:left="413" w:right="413"/>
        <w:jc w:val="center"/>
        <w:rPr>
          <w:b w:val="0"/>
          <w:bCs w:val="0"/>
        </w:rPr>
      </w:pPr>
      <w:r>
        <w:rPr/>
        <w:t>目</w:t>
      </w:r>
      <w:r>
        <w:rPr>
          <w:spacing w:val="-7"/>
        </w:rPr>
        <w:t> </w:t>
      </w:r>
      <w:r>
        <w:rPr/>
        <w:t>录</w:t>
      </w:r>
      <w:r>
        <w:rPr>
          <w:b w:val="0"/>
          <w:bCs w:val="0"/>
        </w:rPr>
      </w:r>
    </w:p>
    <w:sdt>
      <w:sdtPr>
        <w:docPartObj>
          <w:docPartGallery w:val="Table of Contents"/>
          <w:docPartUnique/>
        </w:docPartObj>
      </w:sdtPr>
      <w:sdtEndPr/>
      <w:sdtContent>
        <w:p>
          <w:pPr>
            <w:pStyle w:val="TOC1"/>
            <w:tabs>
              <w:tab w:pos="561" w:val="left" w:leader="none"/>
              <w:tab w:pos="9068" w:val="right" w:leader="dot"/>
            </w:tabs>
            <w:spacing w:line="240" w:lineRule="auto" w:before="171"/>
            <w:ind w:right="0"/>
            <w:jc w:val="center"/>
            <w:rPr>
              <w:rFonts w:ascii="Microsoft JhengHei" w:hAnsi="Microsoft JhengHei" w:cs="Microsoft JhengHei" w:eastAsia="Microsoft JhengHei"/>
              <w:b w:val="0"/>
              <w:bCs w:val="0"/>
            </w:rPr>
          </w:pPr>
          <w:hyperlink w:history="true" w:anchor="_bookmark0">
            <w:r>
              <w:rPr>
                <w:w w:val="95"/>
              </w:rPr>
              <w:t>声</w:t>
              <w:tab/>
            </w:r>
            <w:r>
              <w:rPr/>
              <w:t>明</w:t>
            </w:r>
            <w:r>
              <w:rPr>
                <w:rFonts w:ascii="Times New Roman" w:hAnsi="Times New Roman" w:cs="Times New Roman" w:eastAsia="Times New Roman"/>
                <w:b w:val="0"/>
                <w:bCs w:val="0"/>
              </w:rPr>
              <w:tab/>
            </w:r>
            <w:r>
              <w:rPr>
                <w:rFonts w:ascii="Microsoft JhengHei" w:hAnsi="Microsoft JhengHei" w:cs="Microsoft JhengHei" w:eastAsia="Microsoft JhengHei"/>
              </w:rPr>
              <w:t>1</w:t>
            </w:r>
            <w:r>
              <w:rPr>
                <w:rFonts w:ascii="Microsoft JhengHei" w:hAnsi="Microsoft JhengHei" w:cs="Microsoft JhengHei" w:eastAsia="Microsoft JhengHei"/>
                <w:b w:val="0"/>
                <w:bCs w:val="0"/>
              </w:rPr>
            </w:r>
          </w:hyperlink>
        </w:p>
        <w:p>
          <w:pPr>
            <w:pStyle w:val="TOC1"/>
            <w:tabs>
              <w:tab w:pos="561" w:val="left" w:leader="none"/>
              <w:tab w:pos="9068" w:val="right" w:leader="dot"/>
            </w:tabs>
            <w:spacing w:line="240" w:lineRule="auto"/>
            <w:ind w:right="0"/>
            <w:jc w:val="center"/>
            <w:rPr>
              <w:rFonts w:ascii="Microsoft JhengHei" w:hAnsi="Microsoft JhengHei" w:cs="Microsoft JhengHei" w:eastAsia="Microsoft JhengHei"/>
              <w:b w:val="0"/>
              <w:bCs w:val="0"/>
            </w:rPr>
          </w:pPr>
          <w:hyperlink w:history="true" w:anchor="_bookmark1">
            <w:r>
              <w:rPr>
                <w:w w:val="95"/>
              </w:rPr>
              <w:t>摘</w:t>
              <w:tab/>
            </w:r>
            <w:r>
              <w:rPr/>
              <w:t>要</w:t>
            </w:r>
            <w:r>
              <w:rPr>
                <w:rFonts w:ascii="Times New Roman" w:hAnsi="Times New Roman" w:cs="Times New Roman" w:eastAsia="Times New Roman"/>
                <w:b w:val="0"/>
                <w:bCs w:val="0"/>
              </w:rPr>
              <w:tab/>
            </w:r>
            <w:r>
              <w:rPr>
                <w:rFonts w:ascii="Microsoft JhengHei" w:hAnsi="Microsoft JhengHei" w:cs="Microsoft JhengHei" w:eastAsia="Microsoft JhengHei"/>
              </w:rPr>
              <w:t>3</w:t>
            </w:r>
            <w:r>
              <w:rPr>
                <w:rFonts w:ascii="Microsoft JhengHei" w:hAnsi="Microsoft JhengHei" w:cs="Microsoft JhengHei" w:eastAsia="Microsoft JhengHei"/>
                <w:b w:val="0"/>
                <w:bCs w:val="0"/>
              </w:rPr>
            </w:r>
          </w:hyperlink>
        </w:p>
        <w:p>
          <w:pPr>
            <w:pStyle w:val="TOC1"/>
            <w:tabs>
              <w:tab w:pos="9068" w:val="right" w:leader="dot"/>
            </w:tabs>
            <w:spacing w:line="240" w:lineRule="auto"/>
            <w:ind w:right="0"/>
            <w:jc w:val="center"/>
            <w:rPr>
              <w:rFonts w:ascii="Microsoft JhengHei" w:hAnsi="Microsoft JhengHei" w:cs="Microsoft JhengHei" w:eastAsia="Microsoft JhengHei"/>
              <w:b w:val="0"/>
              <w:bCs w:val="0"/>
            </w:rPr>
          </w:pPr>
          <w:hyperlink w:history="true" w:anchor="_bookmark2">
            <w:r>
              <w:rPr/>
              <w:t>正</w:t>
            </w:r>
            <w:r>
              <w:rPr>
                <w:spacing w:val="18"/>
              </w:rPr>
              <w:t> </w:t>
            </w:r>
            <w:r>
              <w:rPr>
                <w:spacing w:val="-41"/>
              </w:rPr>
              <w:t>文</w:t>
            </w:r>
            <w:r>
              <w:rPr>
                <w:rFonts w:ascii="Times New Roman" w:hAnsi="Times New Roman" w:cs="Times New Roman" w:eastAsia="Times New Roman"/>
                <w:b w:val="0"/>
                <w:bCs w:val="0"/>
                <w:spacing w:val="-41"/>
              </w:rPr>
              <w:tab/>
            </w:r>
            <w:r>
              <w:rPr>
                <w:rFonts w:ascii="Microsoft JhengHei" w:hAnsi="Microsoft JhengHei" w:cs="Microsoft JhengHei" w:eastAsia="Microsoft JhengHei"/>
              </w:rPr>
              <w:t>5</w:t>
            </w:r>
            <w:r>
              <w:rPr>
                <w:rFonts w:ascii="Microsoft JhengHei" w:hAnsi="Microsoft JhengHei" w:cs="Microsoft JhengHei" w:eastAsia="Microsoft JhengHei"/>
                <w:b w:val="0"/>
                <w:bCs w:val="0"/>
              </w:rPr>
            </w:r>
          </w:hyperlink>
        </w:p>
        <w:p>
          <w:pPr>
            <w:pStyle w:val="TOC2"/>
            <w:tabs>
              <w:tab w:pos="9188" w:val="right" w:leader="dot"/>
            </w:tabs>
            <w:spacing w:line="240" w:lineRule="auto" w:before="229"/>
            <w:ind w:right="0"/>
            <w:jc w:val="left"/>
            <w:rPr>
              <w:rFonts w:ascii="Calibri" w:hAnsi="Calibri" w:cs="Calibri" w:eastAsia="Calibri"/>
            </w:rPr>
          </w:pPr>
          <w:hyperlink w:history="true" w:anchor="_bookmark3">
            <w:r>
              <w:rPr/>
              <w:t>一、</w:t>
            </w:r>
            <w:r>
              <w:rPr>
                <w:spacing w:val="-4"/>
              </w:rPr>
              <w:t> </w:t>
            </w:r>
            <w:r>
              <w:rPr/>
              <w:t>委托方、产权持有者和委托方以外的其他评估报告使用者</w:t>
            </w:r>
            <w:r>
              <w:rPr>
                <w:rFonts w:ascii="Times New Roman" w:hAnsi="Times New Roman" w:cs="Times New Roman" w:eastAsia="Times New Roman"/>
              </w:rPr>
              <w:tab/>
            </w:r>
            <w:r>
              <w:rPr>
                <w:rFonts w:ascii="Calibri" w:hAnsi="Calibri" w:cs="Calibri" w:eastAsia="Calibri"/>
              </w:rPr>
              <w:t>5</w:t>
            </w:r>
          </w:hyperlink>
        </w:p>
        <w:p>
          <w:pPr>
            <w:pStyle w:val="TOC2"/>
            <w:tabs>
              <w:tab w:pos="9188" w:val="right" w:leader="dot"/>
            </w:tabs>
            <w:spacing w:line="240" w:lineRule="auto"/>
            <w:ind w:right="0"/>
            <w:jc w:val="left"/>
            <w:rPr>
              <w:rFonts w:ascii="Calibri" w:hAnsi="Calibri" w:cs="Calibri" w:eastAsia="Calibri"/>
            </w:rPr>
          </w:pPr>
          <w:hyperlink w:history="true" w:anchor="_bookmark4">
            <w:r>
              <w:rPr/>
              <w:t>二、</w:t>
            </w:r>
            <w:r>
              <w:rPr>
                <w:spacing w:val="-1"/>
              </w:rPr>
              <w:t> </w:t>
            </w:r>
            <w:r>
              <w:rPr/>
              <w:t>评估目的</w:t>
            </w:r>
            <w:r>
              <w:rPr>
                <w:rFonts w:ascii="Times New Roman" w:hAnsi="Times New Roman" w:cs="Times New Roman" w:eastAsia="Times New Roman"/>
              </w:rPr>
              <w:tab/>
            </w:r>
            <w:r>
              <w:rPr>
                <w:rFonts w:ascii="Calibri" w:hAnsi="Calibri" w:cs="Calibri" w:eastAsia="Calibri"/>
              </w:rPr>
              <w:t>6</w:t>
            </w:r>
          </w:hyperlink>
        </w:p>
        <w:p>
          <w:pPr>
            <w:pStyle w:val="TOC2"/>
            <w:tabs>
              <w:tab w:pos="9188" w:val="right" w:leader="dot"/>
            </w:tabs>
            <w:spacing w:line="240" w:lineRule="auto"/>
            <w:ind w:right="0"/>
            <w:jc w:val="left"/>
            <w:rPr>
              <w:rFonts w:ascii="Calibri" w:hAnsi="Calibri" w:cs="Calibri" w:eastAsia="Calibri"/>
            </w:rPr>
          </w:pPr>
          <w:hyperlink w:history="true" w:anchor="_bookmark5">
            <w:r>
              <w:rPr/>
              <w:t>三、</w:t>
            </w:r>
            <w:r>
              <w:rPr>
                <w:spacing w:val="-2"/>
              </w:rPr>
              <w:t> </w:t>
            </w:r>
            <w:r>
              <w:rPr/>
              <w:t>评估对象和评估范围</w:t>
            </w:r>
            <w:r>
              <w:rPr>
                <w:rFonts w:ascii="Times New Roman" w:hAnsi="Times New Roman" w:cs="Times New Roman" w:eastAsia="Times New Roman"/>
              </w:rPr>
              <w:tab/>
            </w:r>
            <w:r>
              <w:rPr>
                <w:rFonts w:ascii="Calibri" w:hAnsi="Calibri" w:cs="Calibri" w:eastAsia="Calibri"/>
              </w:rPr>
              <w:t>6</w:t>
            </w:r>
          </w:hyperlink>
        </w:p>
        <w:p>
          <w:pPr>
            <w:pStyle w:val="TOC2"/>
            <w:tabs>
              <w:tab w:pos="9188" w:val="right" w:leader="dot"/>
            </w:tabs>
            <w:spacing w:line="240" w:lineRule="auto"/>
            <w:ind w:right="0"/>
            <w:jc w:val="left"/>
            <w:rPr>
              <w:rFonts w:ascii="Calibri" w:hAnsi="Calibri" w:cs="Calibri" w:eastAsia="Calibri"/>
            </w:rPr>
          </w:pPr>
          <w:hyperlink w:history="true" w:anchor="_bookmark6">
            <w:r>
              <w:rPr/>
              <w:t>四、</w:t>
            </w:r>
            <w:r>
              <w:rPr>
                <w:spacing w:val="-2"/>
              </w:rPr>
              <w:t> </w:t>
            </w:r>
            <w:r>
              <w:rPr/>
              <w:t>价值类型及其定义</w:t>
            </w:r>
            <w:r>
              <w:rPr>
                <w:rFonts w:ascii="Times New Roman" w:hAnsi="Times New Roman" w:cs="Times New Roman" w:eastAsia="Times New Roman"/>
              </w:rPr>
              <w:tab/>
            </w:r>
            <w:r>
              <w:rPr>
                <w:rFonts w:ascii="Calibri" w:hAnsi="Calibri" w:cs="Calibri" w:eastAsia="Calibri"/>
              </w:rPr>
              <w:t>6</w:t>
            </w:r>
          </w:hyperlink>
        </w:p>
        <w:p>
          <w:pPr>
            <w:pStyle w:val="TOC2"/>
            <w:tabs>
              <w:tab w:pos="9188" w:val="right" w:leader="dot"/>
            </w:tabs>
            <w:spacing w:line="240" w:lineRule="auto"/>
            <w:ind w:right="0"/>
            <w:jc w:val="left"/>
            <w:rPr>
              <w:rFonts w:ascii="Calibri" w:hAnsi="Calibri" w:cs="Calibri" w:eastAsia="Calibri"/>
            </w:rPr>
          </w:pPr>
          <w:hyperlink w:history="true" w:anchor="_bookmark7">
            <w:r>
              <w:rPr/>
              <w:t>五、</w:t>
            </w:r>
            <w:r>
              <w:rPr>
                <w:spacing w:val="-1"/>
              </w:rPr>
              <w:t> </w:t>
            </w:r>
            <w:r>
              <w:rPr/>
              <w:t>评估基准日</w:t>
            </w:r>
            <w:r>
              <w:rPr>
                <w:rFonts w:ascii="Times New Roman" w:hAnsi="Times New Roman" w:cs="Times New Roman" w:eastAsia="Times New Roman"/>
              </w:rPr>
              <w:tab/>
            </w:r>
            <w:r>
              <w:rPr>
                <w:rFonts w:ascii="Calibri" w:hAnsi="Calibri" w:cs="Calibri" w:eastAsia="Calibri"/>
              </w:rPr>
              <w:t>6</w:t>
            </w:r>
          </w:hyperlink>
        </w:p>
        <w:p>
          <w:pPr>
            <w:pStyle w:val="TOC2"/>
            <w:tabs>
              <w:tab w:pos="9188" w:val="right" w:leader="dot"/>
            </w:tabs>
            <w:spacing w:line="240" w:lineRule="auto"/>
            <w:ind w:right="0"/>
            <w:jc w:val="left"/>
            <w:rPr>
              <w:rFonts w:ascii="Calibri" w:hAnsi="Calibri" w:cs="Calibri" w:eastAsia="Calibri"/>
            </w:rPr>
          </w:pPr>
          <w:hyperlink w:history="true" w:anchor="_bookmark8">
            <w:r>
              <w:rPr/>
              <w:t>六、</w:t>
            </w:r>
            <w:r>
              <w:rPr>
                <w:spacing w:val="-1"/>
              </w:rPr>
              <w:t> </w:t>
            </w:r>
            <w:r>
              <w:rPr/>
              <w:t>评估依据</w:t>
            </w:r>
            <w:r>
              <w:rPr>
                <w:rFonts w:ascii="Times New Roman" w:hAnsi="Times New Roman" w:cs="Times New Roman" w:eastAsia="Times New Roman"/>
              </w:rPr>
              <w:tab/>
            </w:r>
            <w:r>
              <w:rPr>
                <w:rFonts w:ascii="Calibri" w:hAnsi="Calibri" w:cs="Calibri" w:eastAsia="Calibri"/>
              </w:rPr>
              <w:t>7</w:t>
            </w:r>
          </w:hyperlink>
        </w:p>
        <w:p>
          <w:pPr>
            <w:pStyle w:val="TOC2"/>
            <w:tabs>
              <w:tab w:pos="9188" w:val="right" w:leader="dot"/>
            </w:tabs>
            <w:spacing w:line="240" w:lineRule="auto"/>
            <w:ind w:right="0"/>
            <w:jc w:val="left"/>
            <w:rPr>
              <w:rFonts w:ascii="Calibri" w:hAnsi="Calibri" w:cs="Calibri" w:eastAsia="Calibri"/>
            </w:rPr>
          </w:pPr>
          <w:hyperlink w:history="true" w:anchor="_bookmark9">
            <w:r>
              <w:rPr/>
              <w:t>七、</w:t>
            </w:r>
            <w:r>
              <w:rPr>
                <w:spacing w:val="-1"/>
              </w:rPr>
              <w:t> </w:t>
            </w:r>
            <w:r>
              <w:rPr/>
              <w:t>评估方法</w:t>
            </w:r>
            <w:r>
              <w:rPr>
                <w:rFonts w:ascii="Times New Roman" w:hAnsi="Times New Roman" w:cs="Times New Roman" w:eastAsia="Times New Roman"/>
              </w:rPr>
              <w:tab/>
            </w:r>
            <w:r>
              <w:rPr>
                <w:rFonts w:ascii="Calibri" w:hAnsi="Calibri" w:cs="Calibri" w:eastAsia="Calibri"/>
              </w:rPr>
              <w:t>11</w:t>
            </w:r>
          </w:hyperlink>
        </w:p>
        <w:p>
          <w:pPr>
            <w:pStyle w:val="TOC2"/>
            <w:tabs>
              <w:tab w:pos="9188" w:val="right" w:leader="dot"/>
            </w:tabs>
            <w:spacing w:line="240" w:lineRule="auto"/>
            <w:ind w:right="0"/>
            <w:jc w:val="left"/>
            <w:rPr>
              <w:rFonts w:ascii="Calibri" w:hAnsi="Calibri" w:cs="Calibri" w:eastAsia="Calibri"/>
            </w:rPr>
          </w:pPr>
          <w:hyperlink w:history="true" w:anchor="_bookmark10">
            <w:r>
              <w:rPr/>
              <w:t>八、</w:t>
            </w:r>
            <w:r>
              <w:rPr>
                <w:spacing w:val="-2"/>
              </w:rPr>
              <w:t> </w:t>
            </w:r>
            <w:r>
              <w:rPr/>
              <w:t>评估程序实施过程和情况</w:t>
            </w:r>
            <w:r>
              <w:rPr>
                <w:rFonts w:ascii="Times New Roman" w:hAnsi="Times New Roman" w:cs="Times New Roman" w:eastAsia="Times New Roman"/>
              </w:rPr>
              <w:tab/>
            </w:r>
            <w:r>
              <w:rPr>
                <w:rFonts w:ascii="Calibri" w:hAnsi="Calibri" w:cs="Calibri" w:eastAsia="Calibri"/>
              </w:rPr>
              <w:t>12</w:t>
            </w:r>
          </w:hyperlink>
        </w:p>
        <w:p>
          <w:pPr>
            <w:pStyle w:val="TOC2"/>
            <w:tabs>
              <w:tab w:pos="9188" w:val="right" w:leader="dot"/>
            </w:tabs>
            <w:spacing w:line="240" w:lineRule="auto"/>
            <w:ind w:right="0"/>
            <w:jc w:val="left"/>
            <w:rPr>
              <w:rFonts w:ascii="Calibri" w:hAnsi="Calibri" w:cs="Calibri" w:eastAsia="Calibri"/>
            </w:rPr>
          </w:pPr>
          <w:hyperlink w:history="true" w:anchor="_bookmark11">
            <w:r>
              <w:rPr/>
              <w:t>九、</w:t>
            </w:r>
            <w:r>
              <w:rPr>
                <w:spacing w:val="-1"/>
              </w:rPr>
              <w:t> </w:t>
            </w:r>
            <w:r>
              <w:rPr/>
              <w:t>评估假设</w:t>
            </w:r>
            <w:r>
              <w:rPr>
                <w:rFonts w:ascii="Times New Roman" w:hAnsi="Times New Roman" w:cs="Times New Roman" w:eastAsia="Times New Roman"/>
              </w:rPr>
              <w:tab/>
            </w:r>
            <w:r>
              <w:rPr>
                <w:rFonts w:ascii="Calibri" w:hAnsi="Calibri" w:cs="Calibri" w:eastAsia="Calibri"/>
              </w:rPr>
              <w:t>29</w:t>
            </w:r>
          </w:hyperlink>
        </w:p>
        <w:p>
          <w:pPr>
            <w:pStyle w:val="TOC2"/>
            <w:tabs>
              <w:tab w:pos="9188" w:val="right" w:leader="dot"/>
            </w:tabs>
            <w:spacing w:line="240" w:lineRule="auto"/>
            <w:ind w:right="0"/>
            <w:jc w:val="left"/>
            <w:rPr>
              <w:rFonts w:ascii="Calibri" w:hAnsi="Calibri" w:cs="Calibri" w:eastAsia="Calibri"/>
            </w:rPr>
          </w:pPr>
          <w:hyperlink w:history="true" w:anchor="_bookmark12">
            <w:r>
              <w:rPr/>
              <w:t>十、</w:t>
            </w:r>
            <w:r>
              <w:rPr>
                <w:spacing w:val="-1"/>
              </w:rPr>
              <w:t> </w:t>
            </w:r>
            <w:r>
              <w:rPr/>
              <w:t>评估结论</w:t>
            </w:r>
            <w:r>
              <w:rPr>
                <w:rFonts w:ascii="Times New Roman" w:hAnsi="Times New Roman" w:cs="Times New Roman" w:eastAsia="Times New Roman"/>
              </w:rPr>
              <w:tab/>
            </w:r>
            <w:r>
              <w:rPr>
                <w:rFonts w:ascii="Calibri" w:hAnsi="Calibri" w:cs="Calibri" w:eastAsia="Calibri"/>
              </w:rPr>
              <w:t>30</w:t>
            </w:r>
          </w:hyperlink>
        </w:p>
        <w:p>
          <w:pPr>
            <w:pStyle w:val="TOC2"/>
            <w:tabs>
              <w:tab w:pos="9188" w:val="right" w:leader="dot"/>
            </w:tabs>
            <w:spacing w:line="240" w:lineRule="auto"/>
            <w:ind w:right="0"/>
            <w:jc w:val="left"/>
            <w:rPr>
              <w:rFonts w:ascii="Calibri" w:hAnsi="Calibri" w:cs="Calibri" w:eastAsia="Calibri"/>
            </w:rPr>
          </w:pPr>
          <w:hyperlink w:history="true" w:anchor="_bookmark13">
            <w:r>
              <w:rPr/>
              <w:t>十一、</w:t>
            </w:r>
            <w:r>
              <w:rPr>
                <w:spacing w:val="-2"/>
              </w:rPr>
              <w:t> </w:t>
            </w:r>
            <w:r>
              <w:rPr/>
              <w:t>特别事项说明</w:t>
            </w:r>
            <w:r>
              <w:rPr>
                <w:rFonts w:ascii="Times New Roman" w:hAnsi="Times New Roman" w:cs="Times New Roman" w:eastAsia="Times New Roman"/>
              </w:rPr>
              <w:tab/>
            </w:r>
            <w:r>
              <w:rPr>
                <w:rFonts w:ascii="Calibri" w:hAnsi="Calibri" w:cs="Calibri" w:eastAsia="Calibri"/>
              </w:rPr>
              <w:t>30</w:t>
            </w:r>
          </w:hyperlink>
        </w:p>
        <w:p>
          <w:pPr>
            <w:pStyle w:val="TOC2"/>
            <w:tabs>
              <w:tab w:pos="9188" w:val="right" w:leader="dot"/>
            </w:tabs>
            <w:spacing w:line="240" w:lineRule="auto"/>
            <w:ind w:right="0"/>
            <w:jc w:val="left"/>
            <w:rPr>
              <w:rFonts w:ascii="Calibri" w:hAnsi="Calibri" w:cs="Calibri" w:eastAsia="Calibri"/>
            </w:rPr>
          </w:pPr>
          <w:hyperlink w:history="true" w:anchor="_bookmark14">
            <w:r>
              <w:rPr/>
              <w:t>十二、</w:t>
            </w:r>
            <w:r>
              <w:rPr>
                <w:spacing w:val="-2"/>
              </w:rPr>
              <w:t> </w:t>
            </w:r>
            <w:r>
              <w:rPr/>
              <w:t>报告使用限制说明</w:t>
            </w:r>
            <w:r>
              <w:rPr>
                <w:rFonts w:ascii="Times New Roman" w:hAnsi="Times New Roman" w:cs="Times New Roman" w:eastAsia="Times New Roman"/>
              </w:rPr>
              <w:tab/>
            </w:r>
            <w:r>
              <w:rPr>
                <w:rFonts w:ascii="Calibri" w:hAnsi="Calibri" w:cs="Calibri" w:eastAsia="Calibri"/>
              </w:rPr>
              <w:t>32</w:t>
            </w:r>
          </w:hyperlink>
        </w:p>
        <w:p>
          <w:pPr>
            <w:pStyle w:val="TOC2"/>
            <w:tabs>
              <w:tab w:pos="9188" w:val="right" w:leader="dot"/>
            </w:tabs>
            <w:spacing w:line="240" w:lineRule="auto"/>
            <w:ind w:right="0"/>
            <w:jc w:val="left"/>
            <w:rPr>
              <w:rFonts w:ascii="Calibri" w:hAnsi="Calibri" w:cs="Calibri" w:eastAsia="Calibri"/>
            </w:rPr>
          </w:pPr>
          <w:hyperlink w:history="true" w:anchor="_bookmark15">
            <w:r>
              <w:rPr/>
              <w:t>十三、</w:t>
            </w:r>
            <w:r>
              <w:rPr>
                <w:spacing w:val="-2"/>
              </w:rPr>
              <w:t> </w:t>
            </w:r>
            <w:r>
              <w:rPr/>
              <w:t>评估报告日</w:t>
            </w:r>
            <w:r>
              <w:rPr>
                <w:rFonts w:ascii="Times New Roman" w:hAnsi="Times New Roman" w:cs="Times New Roman" w:eastAsia="Times New Roman"/>
              </w:rPr>
              <w:tab/>
            </w:r>
            <w:r>
              <w:rPr>
                <w:rFonts w:ascii="Calibri" w:hAnsi="Calibri" w:cs="Calibri" w:eastAsia="Calibri"/>
              </w:rPr>
              <w:t>32</w:t>
            </w:r>
          </w:hyperlink>
        </w:p>
        <w:p>
          <w:pPr>
            <w:pStyle w:val="TOC1"/>
            <w:tabs>
              <w:tab w:pos="700" w:val="left" w:leader="none"/>
              <w:tab w:pos="9068" w:val="right" w:leader="dot"/>
            </w:tabs>
            <w:spacing w:line="240" w:lineRule="auto" w:before="128"/>
            <w:ind w:right="0"/>
            <w:jc w:val="center"/>
            <w:rPr>
              <w:rFonts w:ascii="Microsoft JhengHei" w:hAnsi="Microsoft JhengHei" w:cs="Microsoft JhengHei" w:eastAsia="Microsoft JhengHei"/>
              <w:b w:val="0"/>
              <w:bCs w:val="0"/>
            </w:rPr>
          </w:pPr>
          <w:hyperlink w:history="true" w:anchor="_bookmark16">
            <w:r>
              <w:rPr>
                <w:w w:val="95"/>
              </w:rPr>
              <w:t>附</w:t>
              <w:tab/>
            </w:r>
            <w:r>
              <w:rPr/>
              <w:t>件</w:t>
            </w:r>
            <w:r>
              <w:rPr>
                <w:rFonts w:ascii="Times New Roman" w:hAnsi="Times New Roman" w:cs="Times New Roman" w:eastAsia="Times New Roman"/>
                <w:b w:val="0"/>
                <w:bCs w:val="0"/>
              </w:rPr>
              <w:tab/>
            </w:r>
            <w:r>
              <w:rPr>
                <w:rFonts w:ascii="Microsoft JhengHei" w:hAnsi="Microsoft JhengHei" w:cs="Microsoft JhengHei" w:eastAsia="Microsoft JhengHei"/>
              </w:rPr>
              <w:t>34</w:t>
            </w:r>
            <w:r>
              <w:rPr>
                <w:rFonts w:ascii="Microsoft JhengHei" w:hAnsi="Microsoft JhengHei" w:cs="Microsoft JhengHei" w:eastAsia="Microsoft JhengHei"/>
                <w:b w:val="0"/>
                <w:bCs w:val="0"/>
              </w:rPr>
            </w:r>
          </w:hyperlink>
        </w:p>
      </w:sdtContent>
    </w:sdt>
    <w:p>
      <w:pPr>
        <w:spacing w:after="0" w:line="240" w:lineRule="auto"/>
        <w:jc w:val="center"/>
        <w:rPr>
          <w:rFonts w:ascii="Microsoft JhengHei" w:hAnsi="Microsoft JhengHei" w:cs="Microsoft JhengHei" w:eastAsia="Microsoft JhengHei"/>
        </w:rPr>
        <w:sectPr>
          <w:pgSz w:w="11910" w:h="16840"/>
          <w:pgMar w:header="878" w:footer="0" w:top="1100" w:bottom="280" w:left="1300" w:right="1300"/>
        </w:sectPr>
      </w:pPr>
    </w:p>
    <w:p>
      <w:pPr>
        <w:pStyle w:val="Heading1"/>
        <w:tabs>
          <w:tab w:pos="1160" w:val="left" w:leader="none"/>
        </w:tabs>
        <w:spacing w:line="240" w:lineRule="auto" w:before="276"/>
        <w:ind w:left="277" w:right="0"/>
        <w:jc w:val="center"/>
        <w:rPr>
          <w:b w:val="0"/>
          <w:bCs w:val="0"/>
        </w:rPr>
      </w:pPr>
      <w:bookmarkStart w:name="声  明" w:id="1"/>
      <w:bookmarkEnd w:id="1"/>
      <w:r>
        <w:rPr>
          <w:b w:val="0"/>
          <w:bCs w:val="0"/>
        </w:rPr>
      </w:r>
      <w:bookmarkStart w:name="_bookmark0" w:id="2"/>
      <w:bookmarkEnd w:id="2"/>
      <w:r>
        <w:rPr>
          <w:b w:val="0"/>
          <w:bCs w:val="0"/>
        </w:rPr>
      </w:r>
      <w:r>
        <w:rPr>
          <w:w w:val="95"/>
        </w:rPr>
        <w:t>声</w:t>
        <w:tab/>
      </w:r>
      <w:r>
        <w:rPr/>
        <w:t>明</w:t>
      </w:r>
      <w:r>
        <w:rPr>
          <w:b w:val="0"/>
          <w:bCs w:val="0"/>
        </w:rPr>
      </w:r>
    </w:p>
    <w:p>
      <w:pPr>
        <w:pStyle w:val="BodyText"/>
        <w:spacing w:line="408" w:lineRule="auto" w:before="180"/>
        <w:ind w:left="677" w:right="114"/>
        <w:jc w:val="left"/>
      </w:pPr>
      <w:bookmarkStart w:name="一、就资产评估师所知，评估报告中陈述的事项是客观的；" w:id="3"/>
      <w:bookmarkEnd w:id="3"/>
      <w:r>
        <w:rPr/>
      </w:r>
      <w:r>
        <w:rPr/>
        <w:t>一、就资产评估师所知，评估报告中陈述的事项是客观的；</w:t>
      </w:r>
      <w:r>
        <w:rPr>
          <w:w w:val="100"/>
        </w:rPr>
        <w:t> </w:t>
      </w:r>
      <w:bookmarkStart w:name="二、资产评估师在评估对象中没有现存的或预期的利益，同时与委托方和相关当事方没有个" w:id="4"/>
      <w:bookmarkEnd w:id="4"/>
      <w:r>
        <w:rPr>
          <w:spacing w:val="2"/>
        </w:rPr>
        <w:t>二</w:t>
      </w:r>
      <w:r>
        <w:rPr>
          <w:spacing w:val="2"/>
        </w:rPr>
        <w:t>、资产评估师在评估对象中没有现存的或预期的利益，同时与委托</w:t>
      </w:r>
    </w:p>
    <w:p>
      <w:pPr>
        <w:pStyle w:val="BodyText"/>
        <w:spacing w:line="408" w:lineRule="auto"/>
        <w:ind w:left="677" w:right="114" w:hanging="560"/>
        <w:jc w:val="left"/>
      </w:pPr>
      <w:r>
        <w:rPr/>
        <w:t>方和相关当事方没有个人利益关系，对委托方和相关当事人不存在偏见；</w:t>
      </w:r>
      <w:r>
        <w:rPr>
          <w:w w:val="100"/>
        </w:rPr>
        <w:t> </w:t>
      </w:r>
      <w:bookmarkStart w:name="三、评估报告的分析和结论是在恪守独立、客观和公正原则基础上形成的，仅在评估报告设" w:id="5"/>
      <w:bookmarkEnd w:id="5"/>
      <w:r>
        <w:rPr>
          <w:spacing w:val="2"/>
        </w:rPr>
        <w:t>三</w:t>
      </w:r>
      <w:r>
        <w:rPr>
          <w:spacing w:val="2"/>
        </w:rPr>
        <w:t>、评估报告的分析和结论是在恪守独立、客观和公正原则基础上形</w:t>
      </w:r>
    </w:p>
    <w:p>
      <w:pPr>
        <w:pStyle w:val="BodyText"/>
        <w:spacing w:line="408" w:lineRule="auto"/>
        <w:ind w:left="677" w:right="114" w:hanging="560"/>
        <w:jc w:val="left"/>
      </w:pPr>
      <w:r>
        <w:rPr/>
        <w:t>成的，仅在评估报告设定的评估假设和限制条件下成立；</w:t>
      </w:r>
      <w:r>
        <w:rPr>
          <w:w w:val="100"/>
        </w:rPr>
        <w:t> </w:t>
      </w:r>
      <w:bookmarkStart w:name="四、评估结论仅在评估报告载明的评估基准日有效。评估报告使用者应当根据评估基准日后" w:id="6"/>
      <w:bookmarkEnd w:id="6"/>
      <w:r>
        <w:rPr>
          <w:spacing w:val="2"/>
        </w:rPr>
        <w:t>四</w:t>
      </w:r>
      <w:r>
        <w:rPr>
          <w:spacing w:val="2"/>
        </w:rPr>
        <w:t>、评估结论仅在评估报告载明的评估基准日有效。评估报告使用者</w:t>
      </w:r>
    </w:p>
    <w:p>
      <w:pPr>
        <w:pStyle w:val="BodyText"/>
        <w:spacing w:line="408" w:lineRule="auto"/>
        <w:ind w:right="114"/>
        <w:jc w:val="left"/>
      </w:pPr>
      <w:r>
        <w:rPr>
          <w:spacing w:val="2"/>
        </w:rPr>
        <w:t>应当根据评估基准日后的资产状况和市场变化情况合理确定评估报告使用</w:t>
      </w:r>
      <w:r>
        <w:rPr>
          <w:spacing w:val="-101"/>
        </w:rPr>
        <w:t> </w:t>
      </w:r>
      <w:r>
        <w:rPr>
          <w:spacing w:val="-101"/>
        </w:rPr>
      </w:r>
      <w:r>
        <w:rPr/>
        <w:t>期限；</w:t>
      </w:r>
    </w:p>
    <w:p>
      <w:pPr>
        <w:pStyle w:val="BodyText"/>
        <w:spacing w:line="408" w:lineRule="auto"/>
        <w:ind w:right="253" w:firstLine="559"/>
        <w:jc w:val="both"/>
      </w:pPr>
      <w:bookmarkStart w:name="五、资产评估师及其所在评估机构具备本评估业务所需的执业资质和相关专业评估经验。除" w:id="7"/>
      <w:bookmarkEnd w:id="7"/>
      <w:r>
        <w:rPr/>
      </w:r>
      <w:r>
        <w:rPr>
          <w:spacing w:val="2"/>
        </w:rPr>
        <w:t>五、资产评估师及其所在评估机构具备本评估业务所需的执业资质和</w:t>
      </w:r>
      <w:r>
        <w:rPr>
          <w:w w:val="100"/>
        </w:rPr>
        <w:t> </w:t>
      </w:r>
      <w:r>
        <w:rPr>
          <w:spacing w:val="2"/>
        </w:rPr>
        <w:t>相关专业评估经验。除已在评估报告中披露的运用评估机构或专家的工作</w:t>
      </w:r>
      <w:r>
        <w:rPr>
          <w:spacing w:val="-101"/>
        </w:rPr>
        <w:t> </w:t>
      </w:r>
      <w:r>
        <w:rPr>
          <w:spacing w:val="-101"/>
        </w:rPr>
      </w:r>
      <w:r>
        <w:rPr/>
        <w:t>外，评估过程中没有运用其他评估机构或专家的工作成果；</w:t>
      </w:r>
    </w:p>
    <w:p>
      <w:pPr>
        <w:pStyle w:val="BodyText"/>
        <w:spacing w:line="408" w:lineRule="auto"/>
        <w:ind w:left="677" w:right="114"/>
        <w:jc w:val="left"/>
      </w:pPr>
      <w:bookmarkStart w:name="六、资产评估师本人或其业务人员已对评估对象进行必要的实地勘查；" w:id="8"/>
      <w:bookmarkEnd w:id="8"/>
      <w:r>
        <w:rPr/>
      </w:r>
      <w:r>
        <w:rPr>
          <w:spacing w:val="-3"/>
        </w:rPr>
        <w:t>六、资产评估师本人或其业务人员已对评估对象进行必要的实地勘查；</w:t>
      </w:r>
      <w:r>
        <w:rPr>
          <w:spacing w:val="-95"/>
        </w:rPr>
        <w:t> </w:t>
      </w:r>
      <w:r>
        <w:rPr>
          <w:spacing w:val="-95"/>
        </w:rPr>
      </w:r>
      <w:bookmarkStart w:name="七、资产评估师执行资产评估业务的目的是对评估对象价值进行估算并发表专业意见，并不" w:id="9"/>
      <w:bookmarkEnd w:id="9"/>
      <w:r>
        <w:rPr>
          <w:spacing w:val="2"/>
        </w:rPr>
        <w:t>七</w:t>
      </w:r>
      <w:r>
        <w:rPr>
          <w:spacing w:val="2"/>
        </w:rPr>
        <w:t>、资产评估师执行资产评估业务的目的是对评估对象价值进行估算</w:t>
      </w:r>
    </w:p>
    <w:p>
      <w:pPr>
        <w:pStyle w:val="BodyText"/>
        <w:spacing w:line="408" w:lineRule="auto"/>
        <w:ind w:right="114"/>
        <w:jc w:val="left"/>
      </w:pPr>
      <w:r>
        <w:rPr>
          <w:spacing w:val="2"/>
        </w:rPr>
        <w:t>并发表专业意见，并不承担相关当事人决策的责任。评估结论不应当被认</w:t>
      </w:r>
      <w:r>
        <w:rPr>
          <w:spacing w:val="-101"/>
        </w:rPr>
        <w:t> </w:t>
      </w:r>
      <w:r>
        <w:rPr>
          <w:spacing w:val="-101"/>
        </w:rPr>
      </w:r>
      <w:r>
        <w:rPr/>
        <w:t>为是对评估对象可实现价格的保证；</w:t>
      </w:r>
    </w:p>
    <w:p>
      <w:pPr>
        <w:pStyle w:val="BodyText"/>
        <w:spacing w:line="408" w:lineRule="auto"/>
        <w:ind w:right="253" w:firstLine="559"/>
        <w:jc w:val="both"/>
      </w:pPr>
      <w:bookmarkStart w:name="八、遵守相关法律、法规和资产评估准则，对评估对象价值进行估算并发表专业意见，是资" w:id="10"/>
      <w:bookmarkEnd w:id="10"/>
      <w:r>
        <w:rPr/>
      </w:r>
      <w:r>
        <w:rPr>
          <w:spacing w:val="2"/>
        </w:rPr>
        <w:t>八、遵守相关法律、法规和资产评估准则，对评估对象价值进行估算</w:t>
      </w:r>
      <w:r>
        <w:rPr>
          <w:w w:val="100"/>
        </w:rPr>
        <w:t> </w:t>
      </w:r>
      <w:r>
        <w:rPr>
          <w:spacing w:val="2"/>
        </w:rPr>
        <w:t>并发表专业意见，是资产评估师的责任；提供必要的资料并保证所提供的</w:t>
      </w:r>
      <w:r>
        <w:rPr>
          <w:spacing w:val="-101"/>
        </w:rPr>
        <w:t> </w:t>
      </w:r>
      <w:r>
        <w:rPr>
          <w:spacing w:val="-101"/>
        </w:rPr>
      </w:r>
      <w:r>
        <w:rPr>
          <w:spacing w:val="2"/>
        </w:rPr>
        <w:t>资料的真实性、合法性和完整性，恰当使用评估报告是委托方和相关当事</w:t>
      </w:r>
      <w:r>
        <w:rPr>
          <w:spacing w:val="-101"/>
        </w:rPr>
        <w:t> </w:t>
      </w:r>
      <w:r>
        <w:rPr>
          <w:spacing w:val="-101"/>
        </w:rPr>
      </w:r>
      <w:r>
        <w:rPr/>
        <w:t>人的责任；</w:t>
      </w:r>
    </w:p>
    <w:p>
      <w:pPr>
        <w:pStyle w:val="BodyText"/>
        <w:spacing w:line="408" w:lineRule="auto"/>
        <w:ind w:right="256" w:firstLine="559"/>
        <w:jc w:val="both"/>
      </w:pPr>
      <w:bookmarkStart w:name="九、资产评估师对评估对象的法律权属状况给予了必要的关注，但不对评估对象的法律权属" w:id="11"/>
      <w:bookmarkEnd w:id="11"/>
      <w:r>
        <w:rPr/>
      </w:r>
      <w:r>
        <w:rPr>
          <w:spacing w:val="2"/>
        </w:rPr>
        <w:t>九、资产评估师对评估对象的法律权属状况给予了必要的关注，但不</w:t>
      </w:r>
      <w:r>
        <w:rPr>
          <w:w w:val="100"/>
        </w:rPr>
        <w:t> </w:t>
      </w:r>
      <w:r>
        <w:rPr/>
        <w:t>对评估对象的法律权属做任何形式的保证；</w:t>
      </w:r>
    </w:p>
    <w:p>
      <w:pPr>
        <w:spacing w:after="0" w:line="408" w:lineRule="auto"/>
        <w:jc w:val="both"/>
        <w:sectPr>
          <w:footerReference w:type="default" r:id="rId6"/>
          <w:pgSz w:w="11910" w:h="16840"/>
          <w:pgMar w:footer="1196" w:header="878" w:top="1100" w:bottom="1380" w:left="1300" w:right="1160"/>
          <w:pgNumType w:start="1"/>
        </w:sectPr>
      </w:pPr>
    </w:p>
    <w:p>
      <w:pPr>
        <w:spacing w:line="240" w:lineRule="auto" w:before="0"/>
        <w:rPr>
          <w:rFonts w:ascii="仿宋" w:hAnsi="仿宋" w:cs="仿宋" w:eastAsia="仿宋"/>
          <w:sz w:val="20"/>
          <w:szCs w:val="20"/>
        </w:rPr>
      </w:pPr>
    </w:p>
    <w:p>
      <w:pPr>
        <w:pStyle w:val="BodyText"/>
        <w:spacing w:line="408" w:lineRule="auto" w:before="146"/>
        <w:ind w:right="0" w:firstLine="559"/>
        <w:jc w:val="left"/>
      </w:pPr>
      <w:bookmarkStart w:name="十、评估报告的使用仅限于评估报告中载明的评估目的，因使用不当造成的后果与资产评估" w:id="12"/>
      <w:bookmarkEnd w:id="12"/>
      <w:r>
        <w:rPr/>
      </w:r>
      <w:r>
        <w:rPr>
          <w:spacing w:val="2"/>
        </w:rPr>
        <w:t>十、评估报告的使用仅限于评估报告中载明的评估目的，因使用不当</w:t>
      </w:r>
      <w:r>
        <w:rPr>
          <w:w w:val="100"/>
        </w:rPr>
        <w:t> </w:t>
      </w:r>
      <w:r>
        <w:rPr/>
        <w:t>造成的后果与资产评估师及其所在评估机构无关。</w:t>
      </w:r>
    </w:p>
    <w:p>
      <w:pPr>
        <w:pStyle w:val="BodyText"/>
        <w:spacing w:line="408" w:lineRule="auto"/>
        <w:ind w:right="0" w:firstLine="559"/>
        <w:jc w:val="left"/>
      </w:pPr>
      <w:bookmarkStart w:name="十一、评估报告使用者应对评估报告中所提及的特别事项说明和使用限制予以关注。" w:id="13"/>
      <w:bookmarkEnd w:id="13"/>
      <w:r>
        <w:rPr/>
      </w:r>
      <w:r>
        <w:rPr>
          <w:spacing w:val="2"/>
        </w:rPr>
        <w:t>十一、评估报告使用者应对评估报告中所提及的特别事项说明和使用</w:t>
      </w:r>
      <w:r>
        <w:rPr>
          <w:w w:val="100"/>
        </w:rPr>
        <w:t> </w:t>
      </w:r>
      <w:r>
        <w:rPr/>
        <w:t>限制予以关注。</w:t>
      </w:r>
    </w:p>
    <w:p>
      <w:pPr>
        <w:spacing w:after="0" w:line="408"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Heading2"/>
        <w:spacing w:line="333" w:lineRule="auto"/>
        <w:ind w:right="379"/>
        <w:jc w:val="center"/>
      </w:pPr>
      <w:bookmarkStart w:name="_bookmark1" w:id="14"/>
      <w:bookmarkEnd w:id="14"/>
      <w:r>
        <w:rPr/>
      </w:r>
      <w:r>
        <w:rPr>
          <w:spacing w:val="-38"/>
        </w:rPr>
        <w:t>江苏省沿海开发集团有限公司关于</w:t>
      </w:r>
      <w:r>
        <w:rPr>
          <w:w w:val="99"/>
        </w:rPr>
        <w:t> </w:t>
      </w:r>
      <w:r>
        <w:rPr>
          <w:spacing w:val="-39"/>
        </w:rPr>
        <w:t>牙鲆鱼养殖示范开发项目中涉及资产的市场价值</w:t>
      </w:r>
      <w:r>
        <w:rPr>
          <w:w w:val="99"/>
        </w:rPr>
        <w:t> </w:t>
      </w:r>
      <w:r>
        <w:rPr>
          <w:spacing w:val="-33"/>
        </w:rPr>
        <w:t>评估报告书</w:t>
      </w:r>
    </w:p>
    <w:p>
      <w:pPr>
        <w:spacing w:line="285" w:lineRule="exact" w:before="0"/>
        <w:ind w:left="415" w:right="413" w:firstLine="0"/>
        <w:jc w:val="center"/>
        <w:rPr>
          <w:rFonts w:ascii="仿宋" w:hAnsi="仿宋" w:cs="仿宋" w:eastAsia="仿宋"/>
          <w:sz w:val="21"/>
          <w:szCs w:val="21"/>
        </w:rPr>
      </w:pPr>
      <w:r>
        <w:rPr>
          <w:rFonts w:ascii="仿宋" w:hAnsi="仿宋" w:cs="仿宋" w:eastAsia="仿宋"/>
          <w:sz w:val="21"/>
          <w:szCs w:val="21"/>
        </w:rPr>
        <w:t>编号：苏金汇通评报字（</w:t>
      </w:r>
      <w:r>
        <w:rPr>
          <w:rFonts w:ascii="Calibri" w:hAnsi="Calibri" w:cs="Calibri" w:eastAsia="Calibri"/>
          <w:sz w:val="21"/>
          <w:szCs w:val="21"/>
        </w:rPr>
        <w:t>2018</w:t>
      </w:r>
      <w:r>
        <w:rPr>
          <w:rFonts w:ascii="仿宋" w:hAnsi="仿宋" w:cs="仿宋" w:eastAsia="仿宋"/>
          <w:sz w:val="21"/>
          <w:szCs w:val="21"/>
        </w:rPr>
        <w:t>）第</w:t>
      </w:r>
      <w:r>
        <w:rPr>
          <w:rFonts w:ascii="仿宋" w:hAnsi="仿宋" w:cs="仿宋" w:eastAsia="仿宋"/>
          <w:spacing w:val="-58"/>
          <w:sz w:val="21"/>
          <w:szCs w:val="21"/>
        </w:rPr>
        <w:t> </w:t>
      </w:r>
      <w:r>
        <w:rPr>
          <w:rFonts w:ascii="Calibri" w:hAnsi="Calibri" w:cs="Calibri" w:eastAsia="Calibri"/>
          <w:sz w:val="21"/>
          <w:szCs w:val="21"/>
        </w:rPr>
        <w:t>Z-169</w:t>
      </w:r>
      <w:r>
        <w:rPr>
          <w:rFonts w:ascii="Calibri" w:hAnsi="Calibri" w:cs="Calibri" w:eastAsia="Calibri"/>
          <w:spacing w:val="-4"/>
          <w:sz w:val="21"/>
          <w:szCs w:val="21"/>
        </w:rPr>
        <w:t> </w:t>
      </w:r>
      <w:r>
        <w:rPr>
          <w:rFonts w:ascii="仿宋" w:hAnsi="仿宋" w:cs="仿宋" w:eastAsia="仿宋"/>
          <w:sz w:val="21"/>
          <w:szCs w:val="21"/>
        </w:rPr>
        <w:t>号</w:t>
      </w:r>
    </w:p>
    <w:p>
      <w:pPr>
        <w:pStyle w:val="Heading1"/>
        <w:tabs>
          <w:tab w:pos="1300" w:val="left" w:leader="none"/>
        </w:tabs>
        <w:spacing w:line="565" w:lineRule="exact"/>
        <w:ind w:right="0"/>
        <w:jc w:val="center"/>
        <w:rPr>
          <w:b w:val="0"/>
          <w:bCs w:val="0"/>
        </w:rPr>
      </w:pPr>
      <w:bookmarkStart w:name="摘  要" w:id="15"/>
      <w:bookmarkEnd w:id="15"/>
      <w:r>
        <w:rPr>
          <w:b w:val="0"/>
          <w:bCs w:val="0"/>
        </w:rPr>
      </w:r>
      <w:r>
        <w:rPr>
          <w:w w:val="95"/>
        </w:rPr>
        <w:t>摘</w:t>
        <w:tab/>
      </w:r>
      <w:r>
        <w:rPr/>
        <w:t>要</w:t>
      </w:r>
      <w:r>
        <w:rPr>
          <w:b w:val="0"/>
          <w:bCs w:val="0"/>
        </w:rPr>
      </w:r>
    </w:p>
    <w:p>
      <w:pPr>
        <w:pStyle w:val="BodyText"/>
        <w:spacing w:line="391" w:lineRule="auto" w:before="180"/>
        <w:ind w:right="113" w:firstLine="559"/>
        <w:jc w:val="both"/>
      </w:pPr>
      <w:r>
        <w:rPr>
          <w:spacing w:val="3"/>
        </w:rPr>
        <w:t>江苏金汇通房地产资产评估造价咨询有限公司</w:t>
      </w:r>
      <w:r>
        <w:rPr>
          <w:rFonts w:ascii="Calibri" w:hAnsi="Calibri" w:cs="Calibri" w:eastAsia="Calibri"/>
          <w:spacing w:val="3"/>
        </w:rPr>
        <w:t>(</w:t>
      </w:r>
      <w:r>
        <w:rPr>
          <w:spacing w:val="3"/>
        </w:rPr>
        <w:t>以下简称</w:t>
      </w:r>
      <w:r>
        <w:rPr>
          <w:rFonts w:ascii="Calibri" w:hAnsi="Calibri" w:cs="Calibri" w:eastAsia="Calibri"/>
          <w:spacing w:val="3"/>
        </w:rPr>
        <w:t>“</w:t>
      </w:r>
      <w:r>
        <w:rPr>
          <w:spacing w:val="3"/>
        </w:rPr>
        <w:t>本资产评估</w:t>
      </w:r>
      <w:r>
        <w:rPr>
          <w:w w:val="100"/>
        </w:rPr>
        <w:t> </w:t>
      </w:r>
      <w:r>
        <w:rPr>
          <w:spacing w:val="-5"/>
        </w:rPr>
        <w:t>机构</w:t>
      </w:r>
      <w:r>
        <w:rPr>
          <w:rFonts w:ascii="Calibri" w:hAnsi="Calibri" w:cs="Calibri" w:eastAsia="Calibri"/>
          <w:spacing w:val="-5"/>
        </w:rPr>
        <w:t>”)</w:t>
      </w:r>
      <w:r>
        <w:rPr>
          <w:spacing w:val="-5"/>
        </w:rPr>
        <w:t>接受江苏省沿海开发集团有限公司委托，按照法律、行政法规和资产</w:t>
      </w:r>
      <w:r>
        <w:rPr>
          <w:spacing w:val="-82"/>
        </w:rPr>
        <w:t> </w:t>
      </w:r>
      <w:r>
        <w:rPr>
          <w:spacing w:val="-82"/>
        </w:rPr>
      </w:r>
      <w:r>
        <w:rPr>
          <w:spacing w:val="2"/>
        </w:rPr>
        <w:t>评估准则的规定，坚持独立、客观和公正的原则，按照必要的评估程序，</w:t>
      </w:r>
      <w:r>
        <w:rPr>
          <w:spacing w:val="-101"/>
        </w:rPr>
        <w:t> </w:t>
      </w:r>
      <w:r>
        <w:rPr>
          <w:spacing w:val="-101"/>
        </w:rPr>
      </w:r>
      <w:r>
        <w:rPr/>
        <w:t>对委估对象牙鲆鱼养殖示范开发项目中涉及资产的市场价值进行了评估。</w:t>
      </w:r>
      <w:r>
        <w:rPr>
          <w:spacing w:val="-41"/>
        </w:rPr>
        <w:t> </w:t>
      </w:r>
      <w:r>
        <w:rPr>
          <w:spacing w:val="-41"/>
        </w:rPr>
      </w:r>
      <w:r>
        <w:rPr/>
        <w:t>现将评估报告摘要如下：</w:t>
      </w:r>
    </w:p>
    <w:p>
      <w:pPr>
        <w:spacing w:line="240" w:lineRule="auto" w:before="0"/>
        <w:rPr>
          <w:rFonts w:ascii="仿宋" w:hAnsi="仿宋" w:cs="仿宋" w:eastAsia="仿宋"/>
          <w:sz w:val="28"/>
          <w:szCs w:val="28"/>
        </w:rPr>
      </w:pPr>
    </w:p>
    <w:p>
      <w:pPr>
        <w:pStyle w:val="BodyText"/>
        <w:spacing w:line="408" w:lineRule="auto" w:before="226"/>
        <w:ind w:left="538" w:right="2069"/>
        <w:jc w:val="left"/>
      </w:pPr>
      <w:r>
        <w:rPr>
          <w:spacing w:val="5"/>
        </w:rPr>
        <w:t>一、</w:t>
      </w:r>
      <w:bookmarkStart w:name="一、评估目的" w:id="16"/>
      <w:bookmarkEnd w:id="16"/>
      <w:r>
        <w:rPr>
          <w:spacing w:val="5"/>
        </w:rPr>
        <w:t>评</w:t>
      </w:r>
      <w:r>
        <w:rPr>
          <w:spacing w:val="5"/>
        </w:rPr>
        <w:t>估目的</w:t>
      </w:r>
      <w:r>
        <w:rPr>
          <w:spacing w:val="-130"/>
        </w:rPr>
        <w:t> </w:t>
      </w:r>
      <w:r>
        <w:rPr>
          <w:spacing w:val="-130"/>
        </w:rPr>
      </w:r>
      <w:r>
        <w:rPr/>
        <w:t>以价值咨询为目的为委估方提供价值参考依据。</w:t>
      </w:r>
      <w:r>
        <w:rPr>
          <w:w w:val="100"/>
        </w:rPr>
        <w:t> </w:t>
      </w:r>
      <w:r>
        <w:rPr>
          <w:spacing w:val="5"/>
        </w:rPr>
        <w:t>二、</w:t>
      </w:r>
      <w:bookmarkStart w:name="二、评估对象和评估范围" w:id="17"/>
      <w:bookmarkEnd w:id="17"/>
      <w:r>
        <w:rPr>
          <w:spacing w:val="5"/>
        </w:rPr>
        <w:t>评</w:t>
      </w:r>
      <w:r>
        <w:rPr>
          <w:spacing w:val="5"/>
        </w:rPr>
        <w:t>估对象和评估范围</w:t>
      </w:r>
    </w:p>
    <w:p>
      <w:pPr>
        <w:pStyle w:val="BodyText"/>
        <w:spacing w:line="386" w:lineRule="auto"/>
        <w:ind w:right="115" w:firstLine="576"/>
        <w:jc w:val="both"/>
      </w:pPr>
      <w:r>
        <w:rPr>
          <w:rFonts w:ascii="Times New Roman" w:hAnsi="Times New Roman" w:cs="Times New Roman" w:eastAsia="Times New Roman"/>
          <w:spacing w:val="-4"/>
        </w:rPr>
        <w:t>1</w:t>
      </w:r>
      <w:r>
        <w:rPr>
          <w:spacing w:val="-4"/>
        </w:rPr>
        <w:t>．评估对象：牙鲆鱼养殖示范开发项目中涉及的房屋、机器设备、土</w:t>
      </w:r>
      <w:r>
        <w:rPr>
          <w:w w:val="100"/>
        </w:rPr>
        <w:t> </w:t>
      </w:r>
      <w:r>
        <w:rPr/>
        <w:t>地使用权（租金）等资产的市场价值。</w:t>
      </w:r>
    </w:p>
    <w:p>
      <w:pPr>
        <w:pStyle w:val="BodyText"/>
        <w:spacing w:line="372" w:lineRule="auto" w:before="86"/>
        <w:ind w:right="113" w:firstLine="576"/>
        <w:jc w:val="both"/>
      </w:pPr>
      <w:r>
        <w:rPr>
          <w:rFonts w:ascii="Calibri" w:hAnsi="Calibri" w:cs="Calibri" w:eastAsia="Calibri"/>
          <w:spacing w:val="-4"/>
        </w:rPr>
        <w:t>2</w:t>
      </w:r>
      <w:r>
        <w:rPr>
          <w:spacing w:val="-4"/>
        </w:rPr>
        <w:t>．评估范围：牙鲆鱼养殖示范开发项目中涉及的房屋、机器设备、土</w:t>
      </w:r>
      <w:r>
        <w:rPr>
          <w:w w:val="100"/>
        </w:rPr>
        <w:t> </w:t>
      </w:r>
      <w:r>
        <w:rPr/>
        <w:t>地等资产。</w:t>
      </w:r>
    </w:p>
    <w:p>
      <w:pPr>
        <w:pStyle w:val="BodyText"/>
        <w:spacing w:line="408" w:lineRule="auto" w:before="103"/>
        <w:ind w:left="694" w:right="0" w:hanging="156"/>
        <w:jc w:val="left"/>
      </w:pPr>
      <w:r>
        <w:rPr>
          <w:spacing w:val="5"/>
        </w:rPr>
        <w:t>三、</w:t>
      </w:r>
      <w:bookmarkStart w:name="三、价值类型及其定义" w:id="18"/>
      <w:bookmarkEnd w:id="18"/>
      <w:r>
        <w:rPr>
          <w:spacing w:val="5"/>
        </w:rPr>
        <w:t>价</w:t>
      </w:r>
      <w:r>
        <w:rPr>
          <w:spacing w:val="5"/>
        </w:rPr>
        <w:t>值类型及其定义</w:t>
      </w:r>
      <w:r>
        <w:rPr>
          <w:spacing w:val="-118"/>
        </w:rPr>
        <w:t> </w:t>
      </w:r>
      <w:r>
        <w:rPr>
          <w:spacing w:val="-118"/>
        </w:rPr>
      </w:r>
      <w:r>
        <w:rPr>
          <w:spacing w:val="7"/>
        </w:rPr>
        <w:t>市场价值</w:t>
      </w:r>
      <w:r>
        <w:rPr>
          <w:rFonts w:ascii="Calibri" w:hAnsi="Calibri" w:cs="Calibri" w:eastAsia="Calibri"/>
          <w:spacing w:val="7"/>
        </w:rPr>
        <w:t>:</w:t>
      </w:r>
      <w:r>
        <w:rPr>
          <w:spacing w:val="7"/>
        </w:rPr>
        <w:t>是指自愿买方和自愿卖方在各自理性行事未受任何强迫的</w:t>
      </w:r>
    </w:p>
    <w:p>
      <w:pPr>
        <w:pStyle w:val="BodyText"/>
        <w:spacing w:line="349" w:lineRule="exact" w:before="0"/>
        <w:ind w:left="538" w:right="0" w:hanging="420"/>
        <w:jc w:val="left"/>
      </w:pPr>
      <w:r>
        <w:rPr>
          <w:spacing w:val="5"/>
        </w:rPr>
        <w:t>情况下，评估对象在评估基准日进行正常公平交易的价值估计数额。</w:t>
      </w:r>
    </w:p>
    <w:p>
      <w:pPr>
        <w:spacing w:line="240" w:lineRule="auto" w:before="9"/>
        <w:rPr>
          <w:rFonts w:ascii="仿宋" w:hAnsi="仿宋" w:cs="仿宋" w:eastAsia="仿宋"/>
          <w:sz w:val="19"/>
          <w:szCs w:val="19"/>
        </w:rPr>
      </w:pPr>
    </w:p>
    <w:p>
      <w:pPr>
        <w:pStyle w:val="BodyText"/>
        <w:spacing w:line="240" w:lineRule="auto" w:before="0"/>
        <w:ind w:left="538" w:right="0"/>
        <w:jc w:val="left"/>
      </w:pPr>
      <w:r>
        <w:rPr>
          <w:spacing w:val="5"/>
        </w:rPr>
        <w:t>四、</w:t>
      </w:r>
      <w:bookmarkStart w:name="四、评估基准日" w:id="19"/>
      <w:bookmarkEnd w:id="19"/>
      <w:r>
        <w:rPr>
          <w:spacing w:val="5"/>
        </w:rPr>
        <w:t>评</w:t>
      </w:r>
      <w:r>
        <w:rPr>
          <w:spacing w:val="5"/>
        </w:rPr>
        <w:t>估基准日</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372" w:lineRule="auto" w:before="146"/>
        <w:ind w:left="538" w:right="2724" w:firstLine="156"/>
        <w:jc w:val="left"/>
      </w:pPr>
      <w:r>
        <w:rPr>
          <w:spacing w:val="5"/>
        </w:rPr>
        <w:t>评估基准日为</w:t>
      </w:r>
      <w:r>
        <w:rPr>
          <w:spacing w:val="-57"/>
        </w:rPr>
        <w:t> </w:t>
      </w:r>
      <w:r>
        <w:rPr>
          <w:rFonts w:ascii="Calibri" w:hAnsi="Calibri" w:cs="Calibri" w:eastAsia="Calibri"/>
        </w:rPr>
        <w:t>2018</w:t>
      </w:r>
      <w:r>
        <w:rPr>
          <w:rFonts w:ascii="Calibri" w:hAnsi="Calibri" w:cs="Calibri" w:eastAsia="Calibri"/>
          <w:spacing w:val="19"/>
        </w:rPr>
        <w:t> </w:t>
      </w:r>
      <w:r>
        <w:rPr/>
        <w:t>年</w:t>
      </w:r>
      <w:r>
        <w:rPr>
          <w:spacing w:val="-57"/>
        </w:rPr>
        <w:t> </w:t>
      </w:r>
      <w:r>
        <w:rPr>
          <w:rFonts w:ascii="Calibri" w:hAnsi="Calibri" w:cs="Calibri" w:eastAsia="Calibri"/>
        </w:rPr>
        <w:t>6</w:t>
      </w:r>
      <w:r>
        <w:rPr>
          <w:rFonts w:ascii="Calibri" w:hAnsi="Calibri" w:cs="Calibri" w:eastAsia="Calibri"/>
          <w:spacing w:val="15"/>
        </w:rPr>
        <w:t> </w:t>
      </w:r>
      <w:r>
        <w:rPr/>
        <w:t>月</w:t>
      </w:r>
      <w:r>
        <w:rPr>
          <w:spacing w:val="-57"/>
        </w:rPr>
        <w:t> </w:t>
      </w:r>
      <w:r>
        <w:rPr>
          <w:rFonts w:ascii="Calibri" w:hAnsi="Calibri" w:cs="Calibri" w:eastAsia="Calibri"/>
        </w:rPr>
        <w:t>30</w:t>
      </w:r>
      <w:r>
        <w:rPr>
          <w:rFonts w:ascii="Calibri" w:hAnsi="Calibri" w:cs="Calibri" w:eastAsia="Calibri"/>
          <w:spacing w:val="15"/>
        </w:rPr>
        <w:t> </w:t>
      </w:r>
      <w:r>
        <w:rPr>
          <w:spacing w:val="3"/>
        </w:rPr>
        <w:t>日。</w:t>
      </w:r>
      <w:r>
        <w:rPr>
          <w:w w:val="100"/>
        </w:rPr>
        <w:t> </w:t>
      </w:r>
      <w:r>
        <w:rPr>
          <w:spacing w:val="5"/>
        </w:rPr>
        <w:t>五、</w:t>
      </w:r>
      <w:bookmarkStart w:name="五、评估方法" w:id="20"/>
      <w:bookmarkEnd w:id="20"/>
      <w:r>
        <w:rPr>
          <w:spacing w:val="5"/>
        </w:rPr>
        <w:t>评</w:t>
      </w:r>
      <w:r>
        <w:rPr>
          <w:spacing w:val="5"/>
        </w:rPr>
        <w:t>估方法</w:t>
      </w:r>
    </w:p>
    <w:p>
      <w:pPr>
        <w:pStyle w:val="BodyText"/>
        <w:spacing w:line="408" w:lineRule="auto" w:before="103"/>
        <w:ind w:right="0" w:firstLine="576"/>
        <w:jc w:val="left"/>
      </w:pPr>
      <w:r>
        <w:rPr>
          <w:spacing w:val="5"/>
        </w:rPr>
        <w:t>经资产评估师现场勘查和调研，确定评估房屋选用成本法、收益法，</w:t>
      </w:r>
      <w:r>
        <w:rPr>
          <w:w w:val="100"/>
        </w:rPr>
        <w:t> </w:t>
      </w:r>
      <w:r>
        <w:rPr>
          <w:spacing w:val="-3"/>
        </w:rPr>
        <w:t>评估机器设备选用成本法，评估土地使用权（租金）选用市场法、收益法。</w:t>
      </w:r>
    </w:p>
    <w:p>
      <w:pPr>
        <w:pStyle w:val="BodyText"/>
        <w:spacing w:line="408" w:lineRule="auto"/>
        <w:ind w:right="243" w:firstLine="590"/>
        <w:jc w:val="both"/>
      </w:pPr>
      <w:r>
        <w:rPr>
          <w:spacing w:val="9"/>
        </w:rPr>
        <w:t>成本法是指首先估测被评估资产的重置成本，然后估测被评估资产</w:t>
      </w:r>
      <w:r>
        <w:rPr>
          <w:w w:val="100"/>
        </w:rPr>
        <w:t> </w:t>
      </w:r>
      <w:r>
        <w:rPr>
          <w:spacing w:val="9"/>
        </w:rPr>
        <w:t>业已存在的各种贬值因素，并将其从重置成本中予以扣除而得到被评估</w:t>
      </w:r>
      <w:r>
        <w:rPr>
          <w:spacing w:val="-61"/>
        </w:rPr>
        <w:t> </w:t>
      </w:r>
      <w:r>
        <w:rPr>
          <w:spacing w:val="-61"/>
        </w:rPr>
      </w:r>
      <w:r>
        <w:rPr>
          <w:spacing w:val="5"/>
        </w:rPr>
        <w:t>资产价值的评估方法。</w:t>
      </w:r>
    </w:p>
    <w:p>
      <w:pPr>
        <w:pStyle w:val="BodyText"/>
        <w:spacing w:line="408" w:lineRule="auto"/>
        <w:ind w:right="243" w:firstLine="537"/>
        <w:jc w:val="both"/>
        <w:rPr>
          <w:rFonts w:ascii="宋体" w:hAnsi="宋体" w:cs="宋体" w:eastAsia="宋体"/>
        </w:rPr>
      </w:pPr>
      <w:r>
        <w:rPr>
          <w:spacing w:val="11"/>
        </w:rPr>
        <w:t>市场法，是指将评估对象与可比上市公司或者可比交易案例进行比</w:t>
      </w:r>
      <w:r>
        <w:rPr>
          <w:w w:val="100"/>
        </w:rPr>
        <w:t> </w:t>
      </w:r>
      <w:r>
        <w:rPr>
          <w:spacing w:val="5"/>
        </w:rPr>
        <w:t>较，确定评估对象价值的评估方法</w:t>
      </w:r>
      <w:r>
        <w:rPr>
          <w:rFonts w:ascii="宋体" w:hAnsi="宋体" w:cs="宋体" w:eastAsia="宋体"/>
          <w:spacing w:val="5"/>
        </w:rPr>
        <w:t>。</w:t>
      </w:r>
    </w:p>
    <w:p>
      <w:pPr>
        <w:pStyle w:val="BodyText"/>
        <w:spacing w:line="408" w:lineRule="auto"/>
        <w:ind w:right="244" w:firstLine="537"/>
        <w:jc w:val="both"/>
      </w:pPr>
      <w:r>
        <w:rPr>
          <w:spacing w:val="2"/>
        </w:rPr>
        <w:t>收益法，是指将预期收益资本化或者折现，确定评估对象价值的评估</w:t>
      </w:r>
      <w:r>
        <w:rPr>
          <w:w w:val="100"/>
        </w:rPr>
        <w:t> </w:t>
      </w:r>
      <w:r>
        <w:rPr>
          <w:spacing w:val="4"/>
        </w:rPr>
        <w:t>方法。</w:t>
      </w:r>
    </w:p>
    <w:p>
      <w:pPr>
        <w:pStyle w:val="BodyText"/>
        <w:spacing w:line="240" w:lineRule="auto"/>
        <w:ind w:left="538" w:right="2724"/>
        <w:jc w:val="left"/>
      </w:pPr>
      <w:r>
        <w:rPr>
          <w:spacing w:val="5"/>
        </w:rPr>
        <w:t>六、</w:t>
      </w:r>
      <w:bookmarkStart w:name="六、评估结论" w:id="21"/>
      <w:bookmarkEnd w:id="21"/>
      <w:r>
        <w:rPr>
          <w:spacing w:val="5"/>
        </w:rPr>
        <w:t>评</w:t>
      </w:r>
      <w:r>
        <w:rPr>
          <w:spacing w:val="5"/>
        </w:rPr>
        <w:t>估结论</w:t>
      </w:r>
    </w:p>
    <w:p>
      <w:pPr>
        <w:spacing w:line="240" w:lineRule="auto" w:before="9"/>
        <w:rPr>
          <w:rFonts w:ascii="仿宋" w:hAnsi="仿宋" w:cs="仿宋" w:eastAsia="仿宋"/>
          <w:sz w:val="19"/>
          <w:szCs w:val="19"/>
        </w:rPr>
      </w:pPr>
    </w:p>
    <w:p>
      <w:pPr>
        <w:spacing w:before="0"/>
        <w:ind w:left="677" w:right="0" w:firstLine="0"/>
        <w:jc w:val="left"/>
        <w:rPr>
          <w:rFonts w:ascii="仿宋" w:hAnsi="仿宋" w:cs="仿宋" w:eastAsia="仿宋"/>
          <w:sz w:val="28"/>
          <w:szCs w:val="28"/>
        </w:rPr>
      </w:pPr>
      <w:r>
        <w:rPr>
          <w:rFonts w:ascii="仿宋" w:hAnsi="仿宋" w:cs="仿宋" w:eastAsia="仿宋"/>
          <w:spacing w:val="4"/>
          <w:sz w:val="28"/>
          <w:szCs w:val="28"/>
        </w:rPr>
        <w:t>经评定估算，确定本项目</w:t>
      </w:r>
      <w:r>
        <w:rPr>
          <w:rFonts w:ascii="仿宋" w:hAnsi="仿宋" w:cs="仿宋" w:eastAsia="仿宋"/>
          <w:b/>
          <w:bCs/>
          <w:spacing w:val="4"/>
          <w:sz w:val="28"/>
          <w:szCs w:val="28"/>
        </w:rPr>
        <w:t>评估价值</w:t>
      </w:r>
      <w:r>
        <w:rPr>
          <w:rFonts w:ascii="仿宋" w:hAnsi="仿宋" w:cs="仿宋" w:eastAsia="仿宋"/>
          <w:spacing w:val="4"/>
          <w:sz w:val="28"/>
          <w:szCs w:val="28"/>
        </w:rPr>
        <w:t>为 </w:t>
      </w:r>
      <w:r>
        <w:rPr>
          <w:rFonts w:ascii="Calibri" w:hAnsi="Calibri" w:cs="Calibri" w:eastAsia="Calibri"/>
          <w:b/>
          <w:bCs/>
          <w:sz w:val="28"/>
          <w:szCs w:val="28"/>
        </w:rPr>
        <w:t>498882</w:t>
      </w:r>
      <w:r>
        <w:rPr>
          <w:rFonts w:ascii="Calibri" w:hAnsi="Calibri" w:cs="Calibri" w:eastAsia="Calibri"/>
          <w:b/>
          <w:bCs/>
          <w:spacing w:val="-4"/>
          <w:sz w:val="28"/>
          <w:szCs w:val="28"/>
        </w:rPr>
        <w:t> </w:t>
      </w:r>
      <w:r>
        <w:rPr>
          <w:rFonts w:ascii="仿宋" w:hAnsi="仿宋" w:cs="仿宋" w:eastAsia="仿宋"/>
          <w:b/>
          <w:bCs/>
          <w:spacing w:val="8"/>
          <w:sz w:val="28"/>
          <w:szCs w:val="28"/>
        </w:rPr>
        <w:t>元，</w:t>
      </w:r>
      <w:r>
        <w:rPr>
          <w:rFonts w:ascii="仿宋" w:hAnsi="仿宋" w:cs="仿宋" w:eastAsia="仿宋"/>
          <w:spacing w:val="8"/>
          <w:sz w:val="28"/>
          <w:szCs w:val="28"/>
        </w:rPr>
        <w:t>大写：</w:t>
      </w:r>
      <w:r>
        <w:rPr>
          <w:rFonts w:ascii="仿宋" w:hAnsi="仿宋" w:cs="仿宋" w:eastAsia="仿宋"/>
          <w:b/>
          <w:bCs/>
          <w:spacing w:val="8"/>
          <w:sz w:val="28"/>
          <w:szCs w:val="28"/>
        </w:rPr>
        <w:t>肆拾玖万捌</w:t>
      </w:r>
      <w:r>
        <w:rPr>
          <w:rFonts w:ascii="仿宋" w:hAnsi="仿宋" w:cs="仿宋" w:eastAsia="仿宋"/>
          <w:spacing w:val="8"/>
          <w:sz w:val="28"/>
          <w:szCs w:val="28"/>
        </w:rPr>
      </w:r>
    </w:p>
    <w:p>
      <w:pPr>
        <w:spacing w:before="132"/>
        <w:ind w:left="118" w:right="0" w:firstLine="0"/>
        <w:jc w:val="left"/>
        <w:rPr>
          <w:rFonts w:ascii="Calibri" w:hAnsi="Calibri" w:cs="Calibri" w:eastAsia="Calibri"/>
          <w:sz w:val="28"/>
          <w:szCs w:val="28"/>
        </w:rPr>
      </w:pPr>
      <w:r>
        <w:rPr>
          <w:rFonts w:ascii="仿宋" w:hAnsi="仿宋" w:cs="仿宋" w:eastAsia="仿宋"/>
          <w:b/>
          <w:bCs/>
          <w:spacing w:val="6"/>
          <w:sz w:val="28"/>
          <w:szCs w:val="28"/>
        </w:rPr>
        <w:t>仟捌佰捌拾贰元整</w:t>
      </w:r>
      <w:r>
        <w:rPr>
          <w:rFonts w:ascii="Calibri" w:hAnsi="Calibri" w:cs="Calibri" w:eastAsia="Calibri"/>
          <w:spacing w:val="6"/>
          <w:sz w:val="28"/>
          <w:szCs w:val="28"/>
        </w:rPr>
        <w:t>(</w:t>
      </w:r>
      <w:r>
        <w:rPr>
          <w:rFonts w:ascii="仿宋" w:hAnsi="仿宋" w:cs="仿宋" w:eastAsia="仿宋"/>
          <w:spacing w:val="6"/>
          <w:sz w:val="28"/>
          <w:szCs w:val="28"/>
        </w:rPr>
        <w:t>其中：</w:t>
      </w:r>
      <w:r>
        <w:rPr>
          <w:rFonts w:ascii="仿宋" w:hAnsi="仿宋" w:cs="仿宋" w:eastAsia="仿宋"/>
          <w:spacing w:val="-87"/>
          <w:sz w:val="28"/>
          <w:szCs w:val="28"/>
        </w:rPr>
        <w:t> </w:t>
      </w:r>
      <w:r>
        <w:rPr>
          <w:rFonts w:ascii="Calibri" w:hAnsi="Calibri" w:cs="Calibri" w:eastAsia="Calibri"/>
          <w:sz w:val="28"/>
          <w:szCs w:val="28"/>
        </w:rPr>
        <w:t>1.  </w:t>
      </w:r>
      <w:r>
        <w:rPr>
          <w:rFonts w:ascii="仿宋" w:hAnsi="仿宋" w:cs="仿宋" w:eastAsia="仿宋"/>
          <w:spacing w:val="5"/>
          <w:sz w:val="28"/>
          <w:szCs w:val="28"/>
        </w:rPr>
        <w:t>房屋建筑物</w:t>
      </w:r>
      <w:r>
        <w:rPr>
          <w:rFonts w:ascii="仿宋" w:hAnsi="仿宋" w:cs="仿宋" w:eastAsia="仿宋"/>
          <w:spacing w:val="-74"/>
          <w:sz w:val="28"/>
          <w:szCs w:val="28"/>
        </w:rPr>
        <w:t> </w:t>
      </w:r>
      <w:r>
        <w:rPr>
          <w:rFonts w:ascii="Microsoft JhengHei" w:hAnsi="Microsoft JhengHei" w:cs="Microsoft JhengHei" w:eastAsia="Microsoft JhengHei"/>
          <w:b/>
          <w:bCs/>
          <w:sz w:val="28"/>
          <w:szCs w:val="28"/>
        </w:rPr>
        <w:t>124752</w:t>
      </w:r>
      <w:r>
        <w:rPr>
          <w:rFonts w:ascii="Microsoft JhengHei" w:hAnsi="Microsoft JhengHei" w:cs="Microsoft JhengHei" w:eastAsia="Microsoft JhengHei"/>
          <w:b/>
          <w:bCs/>
          <w:spacing w:val="-14"/>
          <w:sz w:val="28"/>
          <w:szCs w:val="28"/>
        </w:rPr>
        <w:t> </w:t>
      </w:r>
      <w:r>
        <w:rPr>
          <w:rFonts w:ascii="仿宋" w:hAnsi="仿宋" w:cs="仿宋" w:eastAsia="仿宋"/>
          <w:sz w:val="28"/>
          <w:szCs w:val="28"/>
        </w:rPr>
        <w:t>元</w:t>
      </w:r>
      <w:r>
        <w:rPr>
          <w:rFonts w:ascii="仿宋" w:hAnsi="仿宋" w:cs="仿宋" w:eastAsia="仿宋"/>
          <w:spacing w:val="-11"/>
          <w:sz w:val="28"/>
          <w:szCs w:val="28"/>
        </w:rPr>
        <w:t> </w:t>
      </w:r>
      <w:r>
        <w:rPr>
          <w:rFonts w:ascii="仿宋" w:hAnsi="仿宋" w:cs="仿宋" w:eastAsia="仿宋"/>
          <w:spacing w:val="-9"/>
          <w:sz w:val="28"/>
          <w:szCs w:val="28"/>
        </w:rPr>
        <w:t>；</w:t>
      </w:r>
      <w:r>
        <w:rPr>
          <w:rFonts w:ascii="Calibri" w:hAnsi="Calibri" w:cs="Calibri" w:eastAsia="Calibri"/>
          <w:spacing w:val="-9"/>
          <w:sz w:val="28"/>
          <w:szCs w:val="28"/>
        </w:rPr>
        <w:t>2.</w:t>
      </w:r>
      <w:r>
        <w:rPr>
          <w:rFonts w:ascii="仿宋" w:hAnsi="仿宋" w:cs="仿宋" w:eastAsia="仿宋"/>
          <w:spacing w:val="-9"/>
          <w:sz w:val="28"/>
          <w:szCs w:val="28"/>
        </w:rPr>
        <w:t>机器设备</w:t>
      </w:r>
      <w:r>
        <w:rPr>
          <w:rFonts w:ascii="仿宋" w:hAnsi="仿宋" w:cs="仿宋" w:eastAsia="仿宋"/>
          <w:spacing w:val="-74"/>
          <w:sz w:val="28"/>
          <w:szCs w:val="28"/>
        </w:rPr>
        <w:t> </w:t>
      </w:r>
      <w:r>
        <w:rPr>
          <w:rFonts w:ascii="Calibri" w:hAnsi="Calibri" w:cs="Calibri" w:eastAsia="Calibri"/>
          <w:b/>
          <w:bCs/>
          <w:sz w:val="28"/>
          <w:szCs w:val="28"/>
        </w:rPr>
        <w:t>174130</w:t>
      </w:r>
      <w:r>
        <w:rPr>
          <w:rFonts w:ascii="Calibri" w:hAnsi="Calibri" w:cs="Calibri" w:eastAsia="Calibri"/>
          <w:sz w:val="28"/>
          <w:szCs w:val="28"/>
        </w:rPr>
      </w:r>
    </w:p>
    <w:p>
      <w:pPr>
        <w:pStyle w:val="BodyText"/>
        <w:spacing w:line="372" w:lineRule="auto" w:before="221"/>
        <w:ind w:left="538" w:right="2724" w:hanging="420"/>
        <w:jc w:val="left"/>
      </w:pPr>
      <w:r>
        <w:rPr>
          <w:spacing w:val="4"/>
        </w:rPr>
        <w:t>元；</w:t>
      </w:r>
      <w:r>
        <w:rPr>
          <w:rFonts w:ascii="Calibri" w:hAnsi="Calibri" w:cs="Calibri" w:eastAsia="Calibri"/>
          <w:spacing w:val="4"/>
        </w:rPr>
        <w:t>3 </w:t>
      </w:r>
      <w:r>
        <w:rPr>
          <w:spacing w:val="4"/>
        </w:rPr>
        <w:t>土地使用权（租金）</w:t>
      </w:r>
      <w:r>
        <w:rPr>
          <w:rFonts w:ascii="Calibri" w:hAnsi="Calibri" w:cs="Calibri" w:eastAsia="Calibri"/>
          <w:b/>
          <w:bCs/>
          <w:spacing w:val="4"/>
        </w:rPr>
        <w:t>200000</w:t>
      </w:r>
      <w:r>
        <w:rPr>
          <w:rFonts w:ascii="Calibri" w:hAnsi="Calibri" w:cs="Calibri" w:eastAsia="Calibri"/>
          <w:b/>
          <w:bCs/>
          <w:spacing w:val="-3"/>
        </w:rPr>
        <w:t> </w:t>
      </w:r>
      <w:r>
        <w:rPr>
          <w:spacing w:val="2"/>
        </w:rPr>
        <w:t>元</w:t>
      </w:r>
      <w:r>
        <w:rPr>
          <w:rFonts w:ascii="Calibri" w:hAnsi="Calibri" w:cs="Calibri" w:eastAsia="Calibri"/>
          <w:spacing w:val="2"/>
        </w:rPr>
        <w:t>)</w:t>
      </w:r>
      <w:r>
        <w:rPr>
          <w:spacing w:val="2"/>
        </w:rPr>
        <w:t>。</w:t>
      </w:r>
      <w:r>
        <w:rPr>
          <w:w w:val="100"/>
        </w:rPr>
        <w:t> </w:t>
      </w:r>
      <w:r>
        <w:rPr>
          <w:spacing w:val="5"/>
        </w:rPr>
        <w:t>七、</w:t>
      </w:r>
      <w:bookmarkStart w:name="七、评估报告的使用及有效期" w:id="22"/>
      <w:bookmarkEnd w:id="22"/>
      <w:r>
        <w:rPr>
          <w:spacing w:val="5"/>
        </w:rPr>
        <w:t>评</w:t>
      </w:r>
      <w:r>
        <w:rPr>
          <w:spacing w:val="5"/>
        </w:rPr>
        <w:t>估报告的使用及有效期</w:t>
      </w:r>
    </w:p>
    <w:p>
      <w:pPr>
        <w:pStyle w:val="BodyText"/>
        <w:spacing w:line="408" w:lineRule="auto" w:before="103"/>
        <w:ind w:right="243" w:firstLine="576"/>
        <w:jc w:val="both"/>
      </w:pPr>
      <w:r>
        <w:rPr>
          <w:spacing w:val="9"/>
        </w:rPr>
        <w:t>本报告的使用期限为一年，自评估基准日至经济行为实现日一年内</w:t>
      </w:r>
      <w:r>
        <w:rPr>
          <w:w w:val="100"/>
        </w:rPr>
        <w:t> </w:t>
      </w:r>
      <w:r>
        <w:rPr>
          <w:spacing w:val="4"/>
        </w:rPr>
        <w:t>有效。</w:t>
      </w:r>
    </w:p>
    <w:p>
      <w:pPr>
        <w:pStyle w:val="Heading3"/>
        <w:tabs>
          <w:tab w:pos="8318" w:val="left" w:leader="none"/>
        </w:tabs>
        <w:spacing w:line="314" w:lineRule="auto" w:before="32"/>
        <w:ind w:left="118" w:right="243" w:firstLine="638"/>
        <w:jc w:val="both"/>
        <w:rPr>
          <w:b w:val="0"/>
          <w:bCs w:val="0"/>
        </w:rPr>
      </w:pPr>
      <w:r>
        <w:rPr/>
        <w:pict>
          <v:shape style="position:absolute;margin-left:344.519989pt;margin-top:5.877347pt;width:137.050pt;height:133.7pt;mso-position-horizontal-relative:page;mso-position-vertical-relative:paragraph;z-index:-35824" type="#_x0000_t202" filled="false" stroked="false">
            <v:textbox inset="0,0,0,0">
              <w:txbxContent>
                <w:p>
                  <w:pPr>
                    <w:spacing w:line="281" w:lineRule="exact" w:before="0"/>
                    <w:ind w:left="21" w:right="0" w:firstLine="88"/>
                    <w:jc w:val="left"/>
                    <w:rPr>
                      <w:rFonts w:ascii="仿宋" w:hAnsi="仿宋" w:cs="仿宋" w:eastAsia="仿宋"/>
                      <w:sz w:val="28"/>
                      <w:szCs w:val="28"/>
                    </w:rPr>
                  </w:pPr>
                  <w:r>
                    <w:rPr>
                      <w:rFonts w:ascii="仿宋" w:hAnsi="仿宋" w:cs="仿宋" w:eastAsia="仿宋"/>
                      <w:b/>
                      <w:bCs/>
                      <w:spacing w:val="9"/>
                      <w:w w:val="99"/>
                      <w:sz w:val="28"/>
                      <w:szCs w:val="28"/>
                    </w:rPr>
                    <w:t>了</w:t>
                  </w:r>
                  <w:r>
                    <w:rPr>
                      <w:rFonts w:ascii="仿宋" w:hAnsi="仿宋" w:cs="仿宋" w:eastAsia="仿宋"/>
                      <w:b/>
                      <w:bCs/>
                      <w:spacing w:val="11"/>
                      <w:w w:val="99"/>
                      <w:sz w:val="28"/>
                      <w:szCs w:val="28"/>
                    </w:rPr>
                    <w:t>解</w:t>
                  </w:r>
                  <w:r>
                    <w:rPr>
                      <w:rFonts w:ascii="仿宋" w:hAnsi="仿宋" w:cs="仿宋" w:eastAsia="仿宋"/>
                      <w:b/>
                      <w:bCs/>
                      <w:spacing w:val="9"/>
                      <w:w w:val="99"/>
                      <w:sz w:val="28"/>
                      <w:szCs w:val="28"/>
                    </w:rPr>
                    <w:t>本评估业务</w:t>
                  </w:r>
                  <w:r>
                    <w:rPr>
                      <w:rFonts w:ascii="仿宋" w:hAnsi="仿宋" w:cs="仿宋" w:eastAsia="仿宋"/>
                      <w:b/>
                      <w:bCs/>
                      <w:spacing w:val="11"/>
                      <w:w w:val="99"/>
                      <w:sz w:val="28"/>
                      <w:szCs w:val="28"/>
                    </w:rPr>
                    <w:t>的</w:t>
                  </w:r>
                  <w:r>
                    <w:rPr>
                      <w:rFonts w:ascii="仿宋" w:hAnsi="仿宋" w:cs="仿宋" w:eastAsia="仿宋"/>
                      <w:b/>
                      <w:bCs/>
                      <w:w w:val="99"/>
                      <w:sz w:val="28"/>
                      <w:szCs w:val="28"/>
                    </w:rPr>
                    <w:t>详</w:t>
                  </w:r>
                  <w:r>
                    <w:rPr>
                      <w:rFonts w:ascii="仿宋" w:hAnsi="仿宋" w:cs="仿宋" w:eastAsia="仿宋"/>
                      <w:sz w:val="28"/>
                      <w:szCs w:val="28"/>
                    </w:rPr>
                  </w:r>
                </w:p>
                <w:p>
                  <w:pPr>
                    <w:spacing w:before="113"/>
                    <w:ind w:left="0" w:right="0" w:firstLine="21"/>
                    <w:jc w:val="left"/>
                    <w:rPr>
                      <w:rFonts w:ascii="仿宋" w:hAnsi="仿宋" w:cs="仿宋" w:eastAsia="仿宋"/>
                      <w:sz w:val="28"/>
                      <w:szCs w:val="28"/>
                    </w:rPr>
                  </w:pPr>
                  <w:r>
                    <w:rPr>
                      <w:rFonts w:ascii="仿宋" w:hAnsi="仿宋" w:cs="仿宋" w:eastAsia="仿宋"/>
                      <w:b/>
                      <w:bCs/>
                      <w:spacing w:val="7"/>
                      <w:w w:val="99"/>
                      <w:sz w:val="28"/>
                      <w:szCs w:val="28"/>
                    </w:rPr>
                    <w:t>告</w:t>
                  </w:r>
                  <w:r>
                    <w:rPr>
                      <w:rFonts w:ascii="仿宋" w:hAnsi="仿宋" w:cs="仿宋" w:eastAsia="仿宋"/>
                      <w:b/>
                      <w:bCs/>
                      <w:spacing w:val="9"/>
                      <w:w w:val="99"/>
                      <w:sz w:val="28"/>
                      <w:szCs w:val="28"/>
                    </w:rPr>
                    <w:t>书</w:t>
                  </w:r>
                  <w:r>
                    <w:rPr>
                      <w:rFonts w:ascii="仿宋" w:hAnsi="仿宋" w:cs="仿宋" w:eastAsia="仿宋"/>
                      <w:b/>
                      <w:bCs/>
                      <w:spacing w:val="7"/>
                      <w:w w:val="99"/>
                      <w:sz w:val="28"/>
                      <w:szCs w:val="28"/>
                    </w:rPr>
                    <w:t>正文</w:t>
                  </w:r>
                  <w:r>
                    <w:rPr>
                      <w:rFonts w:ascii="仿宋" w:hAnsi="仿宋" w:cs="仿宋" w:eastAsia="仿宋"/>
                      <w:b/>
                      <w:bCs/>
                      <w:w w:val="99"/>
                      <w:sz w:val="28"/>
                      <w:szCs w:val="28"/>
                    </w:rPr>
                    <w:t>。</w:t>
                  </w:r>
                  <w:r>
                    <w:rPr>
                      <w:rFonts w:ascii="仿宋" w:hAnsi="仿宋" w:cs="仿宋" w:eastAsia="仿宋"/>
                      <w:sz w:val="28"/>
                      <w:szCs w:val="28"/>
                    </w:rPr>
                  </w:r>
                </w:p>
                <w:p>
                  <w:pPr>
                    <w:spacing w:line="240" w:lineRule="auto" w:before="2"/>
                    <w:rPr>
                      <w:rFonts w:ascii="仿宋" w:hAnsi="仿宋" w:cs="仿宋" w:eastAsia="仿宋"/>
                      <w:sz w:val="39"/>
                      <w:szCs w:val="39"/>
                    </w:rPr>
                  </w:pPr>
                </w:p>
                <w:p>
                  <w:pPr>
                    <w:pStyle w:val="BodyText"/>
                    <w:spacing w:line="620" w:lineRule="atLeast" w:before="0"/>
                    <w:ind w:left="0" w:right="153"/>
                    <w:jc w:val="left"/>
                  </w:pPr>
                  <w:r>
                    <w:rPr>
                      <w:spacing w:val="7"/>
                      <w:w w:val="100"/>
                    </w:rPr>
                    <w:t>产评估造价咨询有</w:t>
                  </w:r>
                  <w:r>
                    <w:rPr>
                      <w:w w:val="100"/>
                    </w:rPr>
                    <w:t>限</w:t>
                  </w:r>
                  <w:r>
                    <w:rPr>
                      <w:w w:val="100"/>
                    </w:rPr>
                    <w:t> </w:t>
                  </w:r>
                  <w:r>
                    <w:rPr>
                      <w:spacing w:val="7"/>
                      <w:w w:val="100"/>
                    </w:rPr>
                    <w:t>八年九月三</w:t>
                  </w:r>
                  <w:r>
                    <w:rPr>
                      <w:w w:val="100"/>
                    </w:rPr>
                    <w:t>日</w:t>
                  </w:r>
                </w:p>
              </w:txbxContent>
            </v:textbox>
            <w10:wrap type="none"/>
          </v:shape>
        </w:pict>
      </w:r>
      <w:r>
        <w:rPr/>
        <w:pict>
          <v:shape style="position:absolute;margin-left:348pt;margin-top:6.001565pt;width:133.550pt;height:133.550pt;mso-position-horizontal-relative:page;mso-position-vertical-relative:paragraph;z-index:-35800" type="#_x0000_t75" stroked="false">
            <v:imagedata r:id="rId7" o:title=""/>
          </v:shape>
        </w:pict>
      </w:r>
      <w:r>
        <w:rPr>
          <w:spacing w:val="8"/>
        </w:rPr>
        <w:t>以上内容摘自资产评估报告书正文，欲</w:t>
        <w:tab/>
      </w:r>
      <w:r>
        <w:rPr>
          <w:spacing w:val="6"/>
        </w:rPr>
        <w:t>细情况</w:t>
      </w:r>
      <w:r>
        <w:rPr>
          <w:w w:val="99"/>
        </w:rPr>
        <w:t> </w:t>
      </w:r>
      <w:r>
        <w:rPr>
          <w:spacing w:val="7"/>
        </w:rPr>
        <w:t>和正确理解评估结论，应当阅读资产评估报</w:t>
      </w:r>
      <w:r>
        <w:rPr>
          <w:b w:val="0"/>
          <w:bCs w:val="0"/>
          <w:spacing w:val="7"/>
        </w:rPr>
      </w:r>
    </w:p>
    <w:p>
      <w:pPr>
        <w:spacing w:line="240" w:lineRule="auto" w:before="0"/>
        <w:rPr>
          <w:rFonts w:ascii="仿宋" w:hAnsi="仿宋" w:cs="仿宋" w:eastAsia="仿宋"/>
          <w:b/>
          <w:bCs/>
          <w:sz w:val="28"/>
          <w:szCs w:val="28"/>
        </w:rPr>
      </w:pPr>
    </w:p>
    <w:p>
      <w:pPr>
        <w:spacing w:line="240" w:lineRule="auto" w:before="12"/>
        <w:rPr>
          <w:rFonts w:ascii="仿宋" w:hAnsi="仿宋" w:cs="仿宋" w:eastAsia="仿宋"/>
          <w:b/>
          <w:bCs/>
          <w:sz w:val="23"/>
          <w:szCs w:val="23"/>
        </w:rPr>
      </w:pPr>
    </w:p>
    <w:p>
      <w:pPr>
        <w:pStyle w:val="BodyText"/>
        <w:tabs>
          <w:tab w:pos="8182" w:val="left" w:leader="none"/>
        </w:tabs>
        <w:spacing w:line="240" w:lineRule="auto" w:before="0"/>
        <w:ind w:left="2998" w:right="0"/>
        <w:jc w:val="left"/>
      </w:pPr>
      <w:r>
        <w:rPr>
          <w:spacing w:val="5"/>
        </w:rPr>
        <w:t>江苏金汇通房地产资</w:t>
        <w:tab/>
      </w:r>
      <w:r>
        <w:rPr>
          <w:spacing w:val="3"/>
        </w:rPr>
        <w:t>公司</w:t>
      </w:r>
    </w:p>
    <w:p>
      <w:pPr>
        <w:spacing w:line="240" w:lineRule="auto" w:before="9"/>
        <w:rPr>
          <w:rFonts w:ascii="仿宋" w:hAnsi="仿宋" w:cs="仿宋" w:eastAsia="仿宋"/>
          <w:sz w:val="19"/>
          <w:szCs w:val="19"/>
        </w:rPr>
      </w:pPr>
    </w:p>
    <w:p>
      <w:pPr>
        <w:pStyle w:val="BodyText"/>
        <w:spacing w:line="240" w:lineRule="auto" w:before="0"/>
        <w:ind w:left="4299" w:right="3416"/>
        <w:jc w:val="center"/>
      </w:pPr>
      <w:r>
        <w:rPr>
          <w:spacing w:val="4"/>
        </w:rPr>
        <w:t>二Ｏ一</w:t>
      </w:r>
    </w:p>
    <w:p>
      <w:pPr>
        <w:spacing w:after="0" w:line="240" w:lineRule="auto"/>
        <w:jc w:val="center"/>
        <w:sectPr>
          <w:pgSz w:w="11910" w:h="16840"/>
          <w:pgMar w:header="878" w:footer="1196" w:top="1100" w:bottom="1380" w:left="1300" w:right="1180"/>
        </w:sectPr>
      </w:pPr>
    </w:p>
    <w:p>
      <w:pPr>
        <w:spacing w:line="240" w:lineRule="auto" w:before="0"/>
        <w:rPr>
          <w:rFonts w:ascii="仿宋" w:hAnsi="仿宋" w:cs="仿宋" w:eastAsia="仿宋"/>
          <w:sz w:val="20"/>
          <w:szCs w:val="20"/>
        </w:rPr>
      </w:pPr>
    </w:p>
    <w:p>
      <w:pPr>
        <w:spacing w:line="333" w:lineRule="auto" w:before="103"/>
        <w:ind w:left="417" w:right="379" w:firstLine="0"/>
        <w:jc w:val="center"/>
        <w:rPr>
          <w:rFonts w:ascii="仿宋" w:hAnsi="仿宋" w:cs="仿宋" w:eastAsia="仿宋"/>
          <w:sz w:val="44"/>
          <w:szCs w:val="44"/>
        </w:rPr>
      </w:pPr>
      <w:bookmarkStart w:name="_bookmark2" w:id="23"/>
      <w:bookmarkEnd w:id="23"/>
      <w:r>
        <w:rPr/>
      </w:r>
      <w:r>
        <w:rPr>
          <w:rFonts w:ascii="仿宋" w:hAnsi="仿宋" w:cs="仿宋" w:eastAsia="仿宋"/>
          <w:spacing w:val="-38"/>
          <w:sz w:val="44"/>
          <w:szCs w:val="44"/>
        </w:rPr>
        <w:t>江苏省沿海开发集团有限公司关于</w:t>
      </w:r>
      <w:r>
        <w:rPr>
          <w:rFonts w:ascii="仿宋" w:hAnsi="仿宋" w:cs="仿宋" w:eastAsia="仿宋"/>
          <w:w w:val="99"/>
          <w:sz w:val="44"/>
          <w:szCs w:val="44"/>
        </w:rPr>
        <w:t> </w:t>
      </w:r>
      <w:r>
        <w:rPr>
          <w:rFonts w:ascii="仿宋" w:hAnsi="仿宋" w:cs="仿宋" w:eastAsia="仿宋"/>
          <w:spacing w:val="-39"/>
          <w:sz w:val="44"/>
          <w:szCs w:val="44"/>
        </w:rPr>
        <w:t>牙鲆鱼养殖示范开发项目中涉及资产的市场价值</w:t>
      </w:r>
      <w:r>
        <w:rPr>
          <w:rFonts w:ascii="仿宋" w:hAnsi="仿宋" w:cs="仿宋" w:eastAsia="仿宋"/>
          <w:w w:val="99"/>
          <w:sz w:val="44"/>
          <w:szCs w:val="44"/>
        </w:rPr>
        <w:t> </w:t>
      </w:r>
      <w:r>
        <w:rPr>
          <w:rFonts w:ascii="仿宋" w:hAnsi="仿宋" w:cs="仿宋" w:eastAsia="仿宋"/>
          <w:spacing w:val="-33"/>
          <w:sz w:val="44"/>
          <w:szCs w:val="44"/>
        </w:rPr>
        <w:t>评估报告书</w:t>
      </w:r>
    </w:p>
    <w:p>
      <w:pPr>
        <w:spacing w:line="285" w:lineRule="exact" w:before="0"/>
        <w:ind w:left="415" w:right="413" w:firstLine="0"/>
        <w:jc w:val="center"/>
        <w:rPr>
          <w:rFonts w:ascii="仿宋" w:hAnsi="仿宋" w:cs="仿宋" w:eastAsia="仿宋"/>
          <w:sz w:val="21"/>
          <w:szCs w:val="21"/>
        </w:rPr>
      </w:pPr>
      <w:r>
        <w:rPr>
          <w:rFonts w:ascii="仿宋" w:hAnsi="仿宋" w:cs="仿宋" w:eastAsia="仿宋"/>
          <w:sz w:val="21"/>
          <w:szCs w:val="21"/>
        </w:rPr>
        <w:t>编号：苏金汇通评报字（</w:t>
      </w:r>
      <w:r>
        <w:rPr>
          <w:rFonts w:ascii="Calibri" w:hAnsi="Calibri" w:cs="Calibri" w:eastAsia="Calibri"/>
          <w:sz w:val="21"/>
          <w:szCs w:val="21"/>
        </w:rPr>
        <w:t>2018</w:t>
      </w:r>
      <w:r>
        <w:rPr>
          <w:rFonts w:ascii="仿宋" w:hAnsi="仿宋" w:cs="仿宋" w:eastAsia="仿宋"/>
          <w:sz w:val="21"/>
          <w:szCs w:val="21"/>
        </w:rPr>
        <w:t>）第</w:t>
      </w:r>
      <w:r>
        <w:rPr>
          <w:rFonts w:ascii="仿宋" w:hAnsi="仿宋" w:cs="仿宋" w:eastAsia="仿宋"/>
          <w:spacing w:val="-58"/>
          <w:sz w:val="21"/>
          <w:szCs w:val="21"/>
        </w:rPr>
        <w:t> </w:t>
      </w:r>
      <w:r>
        <w:rPr>
          <w:rFonts w:ascii="Calibri" w:hAnsi="Calibri" w:cs="Calibri" w:eastAsia="Calibri"/>
          <w:sz w:val="21"/>
          <w:szCs w:val="21"/>
        </w:rPr>
        <w:t>Z-169</w:t>
      </w:r>
      <w:r>
        <w:rPr>
          <w:rFonts w:ascii="Calibri" w:hAnsi="Calibri" w:cs="Calibri" w:eastAsia="Calibri"/>
          <w:spacing w:val="-4"/>
          <w:sz w:val="21"/>
          <w:szCs w:val="21"/>
        </w:rPr>
        <w:t> </w:t>
      </w:r>
      <w:r>
        <w:rPr>
          <w:rFonts w:ascii="仿宋" w:hAnsi="仿宋" w:cs="仿宋" w:eastAsia="仿宋"/>
          <w:sz w:val="21"/>
          <w:szCs w:val="21"/>
        </w:rPr>
        <w:t>号</w:t>
      </w:r>
    </w:p>
    <w:p>
      <w:pPr>
        <w:pStyle w:val="Heading1"/>
        <w:spacing w:line="565" w:lineRule="exact"/>
        <w:ind w:right="381"/>
        <w:jc w:val="center"/>
        <w:rPr>
          <w:b w:val="0"/>
          <w:bCs w:val="0"/>
        </w:rPr>
      </w:pPr>
      <w:bookmarkStart w:name="正  文" w:id="24"/>
      <w:bookmarkEnd w:id="24"/>
      <w:r>
        <w:rPr>
          <w:b w:val="0"/>
          <w:bCs w:val="0"/>
        </w:rPr>
      </w:r>
      <w:r>
        <w:rPr/>
        <w:t>正</w:t>
      </w:r>
      <w:r>
        <w:rPr>
          <w:spacing w:val="94"/>
        </w:rPr>
        <w:t> </w:t>
      </w:r>
      <w:r>
        <w:rPr/>
        <w:t>文</w:t>
      </w:r>
      <w:r>
        <w:rPr>
          <w:b w:val="0"/>
          <w:bCs w:val="0"/>
        </w:rPr>
      </w:r>
    </w:p>
    <w:p>
      <w:pPr>
        <w:pStyle w:val="BodyText"/>
        <w:spacing w:line="624" w:lineRule="exact" w:before="7"/>
        <w:ind w:right="118" w:firstLine="576"/>
        <w:jc w:val="both"/>
      </w:pPr>
      <w:r>
        <w:rPr>
          <w:spacing w:val="9"/>
        </w:rPr>
        <w:t>江苏金汇通房地产资产评估造价咨询有限公司接受江苏省沿海开发</w:t>
      </w:r>
      <w:r>
        <w:rPr>
          <w:w w:val="100"/>
        </w:rPr>
        <w:t> </w:t>
      </w:r>
      <w:r>
        <w:rPr>
          <w:spacing w:val="9"/>
        </w:rPr>
        <w:t>集团有限公司（以下简称委托方）的委托，根据国家有关资产评估的规</w:t>
      </w:r>
      <w:r>
        <w:rPr>
          <w:spacing w:val="-63"/>
        </w:rPr>
        <w:t> </w:t>
      </w:r>
      <w:r>
        <w:rPr>
          <w:spacing w:val="-63"/>
        </w:rPr>
      </w:r>
      <w:r>
        <w:rPr>
          <w:spacing w:val="9"/>
        </w:rPr>
        <w:t>定，本着独立性、客观性、公正性的原则，按照公认的资产评估方法，</w:t>
      </w:r>
      <w:r>
        <w:rPr>
          <w:spacing w:val="-61"/>
        </w:rPr>
        <w:t> </w:t>
      </w:r>
      <w:r>
        <w:rPr>
          <w:spacing w:val="-61"/>
        </w:rPr>
      </w:r>
      <w:r>
        <w:rPr>
          <w:spacing w:val="11"/>
        </w:rPr>
        <w:t>对本报告约定的评估目的涉及的评估对象</w:t>
      </w:r>
      <w:r>
        <w:rPr>
          <w:rFonts w:ascii="Calibri" w:hAnsi="Calibri" w:cs="Calibri" w:eastAsia="Calibri"/>
          <w:spacing w:val="11"/>
        </w:rPr>
        <w:t>——</w:t>
      </w:r>
      <w:r>
        <w:rPr>
          <w:spacing w:val="11"/>
        </w:rPr>
        <w:t>牙鲆鱼养殖示范开发项目</w:t>
      </w:r>
      <w:r>
        <w:rPr>
          <w:spacing w:val="-54"/>
        </w:rPr>
        <w:t> </w:t>
      </w:r>
      <w:r>
        <w:rPr>
          <w:spacing w:val="-54"/>
        </w:rPr>
      </w:r>
      <w:r>
        <w:rPr>
          <w:spacing w:val="9"/>
        </w:rPr>
        <w:t>中涉及资产的市场价值进行了评估工作。产权持有者对其所提供资料的</w:t>
      </w:r>
      <w:r>
        <w:rPr>
          <w:spacing w:val="-61"/>
        </w:rPr>
        <w:t> </w:t>
      </w:r>
      <w:r>
        <w:rPr>
          <w:spacing w:val="-61"/>
        </w:rPr>
      </w:r>
      <w:r>
        <w:rPr>
          <w:spacing w:val="9"/>
        </w:rPr>
        <w:t>真实性、合法性、完整性承担责任，资产评估师是在遵守相关法律、法</w:t>
      </w:r>
      <w:r>
        <w:rPr>
          <w:spacing w:val="-61"/>
        </w:rPr>
        <w:t> </w:t>
      </w:r>
      <w:r>
        <w:rPr>
          <w:spacing w:val="-61"/>
        </w:rPr>
      </w:r>
      <w:r>
        <w:rPr>
          <w:spacing w:val="9"/>
        </w:rPr>
        <w:t>规和资产评估准则的基础上对评估对象价值进行估算并发表专业意见。</w:t>
      </w:r>
      <w:r>
        <w:rPr>
          <w:spacing w:val="-61"/>
        </w:rPr>
        <w:t> </w:t>
      </w:r>
      <w:r>
        <w:rPr>
          <w:spacing w:val="-61"/>
        </w:rPr>
      </w:r>
      <w:r>
        <w:rPr>
          <w:spacing w:val="9"/>
        </w:rPr>
        <w:t>本公司评估人员对委估对象实施了实地查勘、市场调查与询证，履行了</w:t>
      </w:r>
      <w:r>
        <w:rPr>
          <w:spacing w:val="-61"/>
        </w:rPr>
        <w:t> </w:t>
      </w:r>
      <w:r>
        <w:rPr>
          <w:spacing w:val="-61"/>
        </w:rPr>
      </w:r>
      <w:r>
        <w:rPr>
          <w:spacing w:val="9"/>
        </w:rPr>
        <w:t>必要的评估程序，对委估对象在评估基准日</w:t>
      </w:r>
      <w:r>
        <w:rPr>
          <w:spacing w:val="-46"/>
        </w:rPr>
        <w:t> </w:t>
      </w:r>
      <w:r>
        <w:rPr>
          <w:rFonts w:ascii="Calibri" w:hAnsi="Calibri" w:cs="Calibri" w:eastAsia="Calibri"/>
        </w:rPr>
        <w:t>2018</w:t>
      </w:r>
      <w:r>
        <w:rPr>
          <w:rFonts w:ascii="Calibri" w:hAnsi="Calibri" w:cs="Calibri" w:eastAsia="Calibri"/>
          <w:spacing w:val="30"/>
        </w:rPr>
        <w:t> </w:t>
      </w:r>
      <w:r>
        <w:rPr/>
        <w:t>年</w:t>
      </w:r>
      <w:r>
        <w:rPr>
          <w:spacing w:val="-46"/>
        </w:rPr>
        <w:t> </w:t>
      </w:r>
      <w:r>
        <w:rPr>
          <w:rFonts w:ascii="Calibri" w:hAnsi="Calibri" w:cs="Calibri" w:eastAsia="Calibri"/>
        </w:rPr>
        <w:t>6</w:t>
      </w:r>
      <w:r>
        <w:rPr>
          <w:rFonts w:ascii="Calibri" w:hAnsi="Calibri" w:cs="Calibri" w:eastAsia="Calibri"/>
          <w:spacing w:val="28"/>
        </w:rPr>
        <w:t> </w:t>
      </w:r>
      <w:r>
        <w:rPr/>
        <w:t>月</w:t>
      </w:r>
      <w:r>
        <w:rPr>
          <w:spacing w:val="-46"/>
        </w:rPr>
        <w:t> </w:t>
      </w:r>
      <w:r>
        <w:rPr>
          <w:rFonts w:ascii="Calibri" w:hAnsi="Calibri" w:cs="Calibri" w:eastAsia="Calibri"/>
        </w:rPr>
        <w:t>30</w:t>
      </w:r>
      <w:r>
        <w:rPr>
          <w:rFonts w:ascii="Calibri" w:hAnsi="Calibri" w:cs="Calibri" w:eastAsia="Calibri"/>
          <w:spacing w:val="30"/>
        </w:rPr>
        <w:t> </w:t>
      </w:r>
      <w:r>
        <w:rPr>
          <w:spacing w:val="7"/>
        </w:rPr>
        <w:t>日所表现的</w:t>
      </w:r>
    </w:p>
    <w:p>
      <w:pPr>
        <w:spacing w:line="321" w:lineRule="auto" w:before="172"/>
        <w:ind w:left="118" w:right="0" w:firstLine="0"/>
        <w:jc w:val="left"/>
        <w:rPr>
          <w:rFonts w:ascii="仿宋" w:hAnsi="仿宋" w:cs="仿宋" w:eastAsia="仿宋"/>
          <w:sz w:val="28"/>
          <w:szCs w:val="28"/>
        </w:rPr>
      </w:pPr>
      <w:r>
        <w:rPr>
          <w:rFonts w:ascii="仿宋" w:hAnsi="仿宋" w:cs="仿宋" w:eastAsia="仿宋"/>
          <w:spacing w:val="5"/>
          <w:sz w:val="28"/>
          <w:szCs w:val="28"/>
        </w:rPr>
        <w:t>价值做出了公允反映。现谨将资产评估情况及结果报告如下：</w:t>
      </w:r>
      <w:r>
        <w:rPr>
          <w:rFonts w:ascii="仿宋" w:hAnsi="仿宋" w:cs="仿宋" w:eastAsia="仿宋"/>
          <w:spacing w:val="-67"/>
          <w:sz w:val="28"/>
          <w:szCs w:val="28"/>
        </w:rPr>
        <w:t> </w:t>
      </w:r>
      <w:r>
        <w:rPr>
          <w:rFonts w:ascii="仿宋" w:hAnsi="仿宋" w:cs="仿宋" w:eastAsia="仿宋"/>
          <w:spacing w:val="-67"/>
          <w:sz w:val="28"/>
          <w:szCs w:val="28"/>
        </w:rPr>
      </w:r>
      <w:r>
        <w:rPr>
          <w:rFonts w:ascii="仿宋" w:hAnsi="仿宋" w:cs="仿宋" w:eastAsia="仿宋"/>
          <w:b/>
          <w:bCs/>
          <w:sz w:val="28"/>
          <w:szCs w:val="28"/>
        </w:rPr>
        <w:t>一</w:t>
      </w:r>
      <w:bookmarkStart w:name="一、委托方、产权持有者和委托方以外的其他评估报告使用者" w:id="25"/>
      <w:bookmarkEnd w:id="25"/>
      <w:r>
        <w:rPr>
          <w:rFonts w:ascii="仿宋" w:hAnsi="仿宋" w:cs="仿宋" w:eastAsia="仿宋"/>
          <w:b/>
          <w:bCs/>
          <w:sz w:val="28"/>
          <w:szCs w:val="28"/>
        </w:rPr>
      </w:r>
      <w:bookmarkStart w:name="_bookmark3" w:id="26"/>
      <w:bookmarkEnd w:id="26"/>
      <w:r>
        <w:rPr>
          <w:rFonts w:ascii="仿宋" w:hAnsi="仿宋" w:cs="仿宋" w:eastAsia="仿宋"/>
          <w:b/>
          <w:bCs/>
          <w:sz w:val="28"/>
          <w:szCs w:val="28"/>
        </w:rPr>
        <w:t>、</w:t>
      </w:r>
      <w:r>
        <w:rPr>
          <w:rFonts w:ascii="仿宋" w:hAnsi="仿宋" w:cs="仿宋" w:eastAsia="仿宋"/>
          <w:b/>
          <w:bCs/>
          <w:sz w:val="28"/>
          <w:szCs w:val="28"/>
        </w:rPr>
        <w:t>委托方、产权持有者和委托方以外的其他评估报告使用者</w:t>
      </w:r>
      <w:r>
        <w:rPr>
          <w:rFonts w:ascii="仿宋" w:hAnsi="仿宋" w:cs="仿宋" w:eastAsia="仿宋"/>
          <w:sz w:val="28"/>
          <w:szCs w:val="28"/>
        </w:rPr>
      </w:r>
    </w:p>
    <w:p>
      <w:pPr>
        <w:pStyle w:val="BodyText"/>
        <w:spacing w:line="408" w:lineRule="auto" w:before="212"/>
        <w:ind w:left="677" w:right="2069" w:hanging="140"/>
        <w:jc w:val="left"/>
      </w:pPr>
      <w:r>
        <w:rPr>
          <w:spacing w:val="5"/>
        </w:rPr>
        <w:t>（一）委托方及产权持有者简介</w:t>
      </w:r>
      <w:r>
        <w:rPr>
          <w:spacing w:val="-106"/>
        </w:rPr>
        <w:t> </w:t>
      </w:r>
      <w:r>
        <w:rPr>
          <w:spacing w:val="-106"/>
        </w:rPr>
      </w:r>
      <w:r>
        <w:rPr>
          <w:spacing w:val="5"/>
        </w:rPr>
        <w:t>名称：江苏省沿海开发集团有限公司</w:t>
      </w:r>
      <w:r>
        <w:rPr>
          <w:w w:val="100"/>
        </w:rPr>
        <w:t> </w:t>
      </w:r>
      <w:r>
        <w:rPr/>
        <w:t>类型：有限责任公司</w:t>
      </w:r>
    </w:p>
    <w:p>
      <w:pPr>
        <w:pStyle w:val="BodyText"/>
        <w:spacing w:line="372" w:lineRule="auto"/>
        <w:ind w:left="677" w:right="0"/>
        <w:jc w:val="left"/>
      </w:pPr>
      <w:r>
        <w:rPr/>
        <w:t>住所：江苏省南京市奥体大街</w:t>
      </w:r>
      <w:r>
        <w:rPr>
          <w:spacing w:val="-75"/>
        </w:rPr>
        <w:t> </w:t>
      </w:r>
      <w:r>
        <w:rPr>
          <w:rFonts w:ascii="Calibri" w:hAnsi="Calibri" w:cs="Calibri" w:eastAsia="Calibri"/>
        </w:rPr>
        <w:t>68</w:t>
      </w:r>
      <w:r>
        <w:rPr>
          <w:rFonts w:ascii="Calibri" w:hAnsi="Calibri" w:cs="Calibri" w:eastAsia="Calibri"/>
          <w:spacing w:val="2"/>
        </w:rPr>
        <w:t> </w:t>
      </w:r>
      <w:r>
        <w:rPr/>
        <w:t>号新城科技园国际研发总部园</w:t>
      </w:r>
      <w:r>
        <w:rPr>
          <w:spacing w:val="-75"/>
        </w:rPr>
        <w:t> </w:t>
      </w:r>
      <w:r>
        <w:rPr>
          <w:rFonts w:ascii="Calibri" w:hAnsi="Calibri" w:cs="Calibri" w:eastAsia="Calibri"/>
        </w:rPr>
        <w:t>4B</w:t>
      </w:r>
      <w:r>
        <w:rPr>
          <w:rFonts w:ascii="Calibri" w:hAnsi="Calibri" w:cs="Calibri" w:eastAsia="Calibri"/>
          <w:spacing w:val="3"/>
        </w:rPr>
        <w:t> </w:t>
      </w:r>
      <w:r>
        <w:rPr/>
        <w:t>栋</w:t>
      </w:r>
      <w:r>
        <w:rPr>
          <w:w w:val="100"/>
        </w:rPr>
        <w:t> </w:t>
      </w:r>
      <w:r>
        <w:rPr/>
        <w:t>法定代表人：邓东升</w:t>
      </w:r>
    </w:p>
    <w:p>
      <w:pPr>
        <w:pStyle w:val="BodyText"/>
        <w:spacing w:line="240" w:lineRule="auto" w:before="103"/>
        <w:ind w:left="677" w:right="0"/>
        <w:jc w:val="left"/>
      </w:pPr>
      <w:r>
        <w:rPr/>
        <w:t>注册资本：</w:t>
      </w:r>
      <w:r>
        <w:rPr>
          <w:rFonts w:ascii="Calibri" w:hAnsi="Calibri" w:cs="Calibri" w:eastAsia="Calibri"/>
        </w:rPr>
        <w:t>620000</w:t>
      </w:r>
      <w:r>
        <w:rPr>
          <w:rFonts w:ascii="Calibri" w:hAnsi="Calibri" w:cs="Calibri" w:eastAsia="Calibri"/>
          <w:spacing w:val="-1"/>
        </w:rPr>
        <w:t> </w:t>
      </w:r>
      <w:r>
        <w:rPr/>
        <w:t>万元整</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240" w:lineRule="auto" w:before="146"/>
        <w:ind w:left="677" w:right="2724"/>
        <w:jc w:val="left"/>
      </w:pPr>
      <w:r>
        <w:rPr/>
        <w:t>成立日期：</w:t>
      </w:r>
      <w:r>
        <w:rPr>
          <w:rFonts w:ascii="Calibri" w:hAnsi="Calibri" w:cs="Calibri" w:eastAsia="Calibri"/>
        </w:rPr>
        <w:t>1996</w:t>
      </w:r>
      <w:r>
        <w:rPr>
          <w:rFonts w:ascii="Calibri" w:hAnsi="Calibri" w:cs="Calibri" w:eastAsia="Calibri"/>
          <w:spacing w:val="6"/>
        </w:rPr>
        <w:t> </w:t>
      </w:r>
      <w:r>
        <w:rPr/>
        <w:t>年</w:t>
      </w:r>
      <w:r>
        <w:rPr>
          <w:spacing w:val="-72"/>
        </w:rPr>
        <w:t> </w:t>
      </w:r>
      <w:r>
        <w:rPr>
          <w:rFonts w:ascii="Calibri" w:hAnsi="Calibri" w:cs="Calibri" w:eastAsia="Calibri"/>
        </w:rPr>
        <w:t>3</w:t>
      </w:r>
      <w:r>
        <w:rPr>
          <w:rFonts w:ascii="Calibri" w:hAnsi="Calibri" w:cs="Calibri" w:eastAsia="Calibri"/>
          <w:spacing w:val="4"/>
        </w:rPr>
        <w:t> </w:t>
      </w:r>
      <w:r>
        <w:rPr/>
        <w:t>月</w:t>
      </w:r>
      <w:r>
        <w:rPr>
          <w:spacing w:val="-72"/>
        </w:rPr>
        <w:t> </w:t>
      </w:r>
      <w:r>
        <w:rPr>
          <w:rFonts w:ascii="Calibri" w:hAnsi="Calibri" w:cs="Calibri" w:eastAsia="Calibri"/>
        </w:rPr>
        <w:t>15</w:t>
      </w:r>
      <w:r>
        <w:rPr>
          <w:rFonts w:ascii="Calibri" w:hAnsi="Calibri" w:cs="Calibri" w:eastAsia="Calibri"/>
          <w:spacing w:val="4"/>
        </w:rPr>
        <w:t> </w:t>
      </w:r>
      <w:r>
        <w:rPr/>
        <w:t>日</w:t>
      </w:r>
    </w:p>
    <w:p>
      <w:pPr>
        <w:pStyle w:val="BodyText"/>
        <w:spacing w:line="240" w:lineRule="auto" w:before="221"/>
        <w:ind w:left="677" w:right="2724"/>
        <w:jc w:val="left"/>
        <w:rPr>
          <w:rFonts w:ascii="Calibri" w:hAnsi="Calibri" w:cs="Calibri" w:eastAsia="Calibri"/>
        </w:rPr>
      </w:pPr>
      <w:r>
        <w:rPr/>
        <w:t>营业期限：</w:t>
      </w:r>
      <w:r>
        <w:rPr>
          <w:rFonts w:ascii="Calibri" w:hAnsi="Calibri" w:cs="Calibri" w:eastAsia="Calibri"/>
        </w:rPr>
        <w:t>1996</w:t>
      </w:r>
      <w:r>
        <w:rPr>
          <w:rFonts w:ascii="Calibri" w:hAnsi="Calibri" w:cs="Calibri" w:eastAsia="Calibri"/>
          <w:spacing w:val="6"/>
        </w:rPr>
        <w:t> </w:t>
      </w:r>
      <w:r>
        <w:rPr/>
        <w:t>年</w:t>
      </w:r>
      <w:r>
        <w:rPr>
          <w:spacing w:val="-72"/>
        </w:rPr>
        <w:t> </w:t>
      </w:r>
      <w:r>
        <w:rPr>
          <w:rFonts w:ascii="Calibri" w:hAnsi="Calibri" w:cs="Calibri" w:eastAsia="Calibri"/>
        </w:rPr>
        <w:t>3</w:t>
      </w:r>
      <w:r>
        <w:rPr>
          <w:rFonts w:ascii="Calibri" w:hAnsi="Calibri" w:cs="Calibri" w:eastAsia="Calibri"/>
          <w:spacing w:val="4"/>
        </w:rPr>
        <w:t> </w:t>
      </w:r>
      <w:r>
        <w:rPr/>
        <w:t>月</w:t>
      </w:r>
      <w:r>
        <w:rPr>
          <w:spacing w:val="-72"/>
        </w:rPr>
        <w:t> </w:t>
      </w:r>
      <w:r>
        <w:rPr>
          <w:rFonts w:ascii="Calibri" w:hAnsi="Calibri" w:cs="Calibri" w:eastAsia="Calibri"/>
        </w:rPr>
        <w:t>15</w:t>
      </w:r>
      <w:r>
        <w:rPr>
          <w:rFonts w:ascii="Calibri" w:hAnsi="Calibri" w:cs="Calibri" w:eastAsia="Calibri"/>
          <w:spacing w:val="4"/>
        </w:rPr>
        <w:t> </w:t>
      </w:r>
      <w:r>
        <w:rPr/>
        <w:t>日至</w:t>
      </w:r>
      <w:r>
        <w:rPr>
          <w:rFonts w:ascii="Calibri" w:hAnsi="Calibri" w:cs="Calibri" w:eastAsia="Calibri"/>
        </w:rPr>
        <w:t>******</w:t>
      </w:r>
    </w:p>
    <w:p>
      <w:pPr>
        <w:pStyle w:val="BodyText"/>
        <w:spacing w:line="408" w:lineRule="auto" w:before="221"/>
        <w:ind w:left="677" w:right="2724" w:hanging="140"/>
        <w:jc w:val="left"/>
      </w:pPr>
      <w:r>
        <w:rPr>
          <w:spacing w:val="5"/>
        </w:rPr>
        <w:t>（二）委托方与被评估单位的关系</w:t>
      </w:r>
      <w:r>
        <w:rPr>
          <w:spacing w:val="-103"/>
        </w:rPr>
        <w:t> </w:t>
      </w:r>
      <w:r>
        <w:rPr>
          <w:spacing w:val="-103"/>
        </w:rPr>
      </w:r>
      <w:r>
        <w:rPr/>
        <w:t>评估对象为委托方投资的项目。</w:t>
      </w:r>
    </w:p>
    <w:p>
      <w:pPr>
        <w:pStyle w:val="BodyText"/>
        <w:spacing w:line="408" w:lineRule="auto"/>
        <w:ind w:left="708" w:right="0" w:hanging="171"/>
        <w:jc w:val="left"/>
      </w:pPr>
      <w:r>
        <w:rPr>
          <w:rFonts w:ascii="仿宋" w:hAnsi="仿宋" w:cs="仿宋" w:eastAsia="仿宋"/>
          <w:b/>
          <w:bCs/>
          <w:spacing w:val="3"/>
        </w:rPr>
        <w:t>（三）</w:t>
      </w:r>
      <w:r>
        <w:rPr>
          <w:spacing w:val="3"/>
        </w:rPr>
        <w:t>其他评估报告使用者</w:t>
      </w:r>
      <w:r>
        <w:rPr>
          <w:spacing w:val="-115"/>
        </w:rPr>
        <w:t> </w:t>
      </w:r>
      <w:r>
        <w:rPr>
          <w:spacing w:val="-115"/>
        </w:rPr>
      </w:r>
      <w:r>
        <w:rPr/>
        <w:t>评估委托书中约定的评估报告使用者和国家法津、法规规定的评估报</w:t>
      </w:r>
    </w:p>
    <w:p>
      <w:pPr>
        <w:spacing w:line="321" w:lineRule="auto" w:before="61"/>
        <w:ind w:left="118" w:right="6241" w:firstLine="0"/>
        <w:jc w:val="left"/>
        <w:rPr>
          <w:rFonts w:ascii="仿宋" w:hAnsi="仿宋" w:cs="仿宋" w:eastAsia="仿宋"/>
          <w:sz w:val="28"/>
          <w:szCs w:val="28"/>
        </w:rPr>
      </w:pPr>
      <w:r>
        <w:rPr>
          <w:rFonts w:ascii="仿宋" w:hAnsi="仿宋" w:cs="仿宋" w:eastAsia="仿宋"/>
          <w:sz w:val="28"/>
          <w:szCs w:val="28"/>
        </w:rPr>
        <w:t>告使用者。</w:t>
      </w:r>
      <w:r>
        <w:rPr>
          <w:rFonts w:ascii="仿宋" w:hAnsi="仿宋" w:cs="仿宋" w:eastAsia="仿宋"/>
          <w:w w:val="100"/>
          <w:sz w:val="28"/>
          <w:szCs w:val="28"/>
        </w:rPr>
        <w:t> </w:t>
      </w:r>
      <w:r>
        <w:rPr>
          <w:rFonts w:ascii="仿宋" w:hAnsi="仿宋" w:cs="仿宋" w:eastAsia="仿宋"/>
          <w:b/>
          <w:bCs/>
          <w:sz w:val="28"/>
          <w:szCs w:val="28"/>
        </w:rPr>
        <w:t>二</w:t>
      </w:r>
      <w:bookmarkStart w:name="二、评估目的" w:id="27"/>
      <w:bookmarkEnd w:id="27"/>
      <w:r>
        <w:rPr>
          <w:rFonts w:ascii="仿宋" w:hAnsi="仿宋" w:cs="仿宋" w:eastAsia="仿宋"/>
          <w:b/>
          <w:bCs/>
          <w:sz w:val="28"/>
          <w:szCs w:val="28"/>
        </w:rPr>
      </w:r>
      <w:bookmarkStart w:name="_bookmark4" w:id="28"/>
      <w:bookmarkEnd w:id="28"/>
      <w:r>
        <w:rPr>
          <w:rFonts w:ascii="仿宋" w:hAnsi="仿宋" w:cs="仿宋" w:eastAsia="仿宋"/>
          <w:b/>
          <w:bCs/>
          <w:sz w:val="28"/>
          <w:szCs w:val="28"/>
        </w:rPr>
        <w:t>、</w:t>
      </w:r>
      <w:r>
        <w:rPr>
          <w:rFonts w:ascii="仿宋" w:hAnsi="仿宋" w:cs="仿宋" w:eastAsia="仿宋"/>
          <w:b/>
          <w:bCs/>
          <w:sz w:val="28"/>
          <w:szCs w:val="28"/>
        </w:rPr>
        <w:t>评估目的</w:t>
      </w:r>
      <w:r>
        <w:rPr>
          <w:rFonts w:ascii="仿宋" w:hAnsi="仿宋" w:cs="仿宋" w:eastAsia="仿宋"/>
          <w:sz w:val="28"/>
          <w:szCs w:val="28"/>
        </w:rPr>
      </w:r>
    </w:p>
    <w:p>
      <w:pPr>
        <w:spacing w:line="324" w:lineRule="auto" w:before="212"/>
        <w:ind w:left="118" w:right="2724" w:firstLine="559"/>
        <w:jc w:val="left"/>
        <w:rPr>
          <w:rFonts w:ascii="仿宋" w:hAnsi="仿宋" w:cs="仿宋" w:eastAsia="仿宋"/>
          <w:sz w:val="28"/>
          <w:szCs w:val="28"/>
        </w:rPr>
      </w:pPr>
      <w:r>
        <w:rPr>
          <w:rFonts w:ascii="仿宋" w:hAnsi="仿宋" w:cs="仿宋" w:eastAsia="仿宋"/>
          <w:spacing w:val="-2"/>
          <w:sz w:val="28"/>
          <w:szCs w:val="28"/>
        </w:rPr>
        <w:t>以价值咨询为目的为委估方提供价值参考依据。</w:t>
      </w:r>
      <w:r>
        <w:rPr>
          <w:rFonts w:ascii="仿宋" w:hAnsi="仿宋" w:cs="仿宋" w:eastAsia="仿宋"/>
          <w:w w:val="100"/>
          <w:sz w:val="28"/>
          <w:szCs w:val="28"/>
        </w:rPr>
        <w:t> </w:t>
      </w:r>
      <w:r>
        <w:rPr>
          <w:rFonts w:ascii="仿宋" w:hAnsi="仿宋" w:cs="仿宋" w:eastAsia="仿宋"/>
          <w:b/>
          <w:bCs/>
          <w:sz w:val="28"/>
          <w:szCs w:val="28"/>
        </w:rPr>
        <w:t>三</w:t>
      </w:r>
      <w:bookmarkStart w:name="三、评估对象和评估范围" w:id="29"/>
      <w:bookmarkEnd w:id="29"/>
      <w:r>
        <w:rPr>
          <w:rFonts w:ascii="仿宋" w:hAnsi="仿宋" w:cs="仿宋" w:eastAsia="仿宋"/>
          <w:b/>
          <w:bCs/>
          <w:sz w:val="28"/>
          <w:szCs w:val="28"/>
        </w:rPr>
      </w:r>
      <w:bookmarkStart w:name="_bookmark5" w:id="30"/>
      <w:bookmarkEnd w:id="30"/>
      <w:r>
        <w:rPr>
          <w:rFonts w:ascii="仿宋" w:hAnsi="仿宋" w:cs="仿宋" w:eastAsia="仿宋"/>
          <w:b/>
          <w:bCs/>
          <w:sz w:val="28"/>
          <w:szCs w:val="28"/>
        </w:rPr>
        <w:t>、</w:t>
      </w:r>
      <w:r>
        <w:rPr>
          <w:rFonts w:ascii="仿宋" w:hAnsi="仿宋" w:cs="仿宋" w:eastAsia="仿宋"/>
          <w:b/>
          <w:bCs/>
          <w:sz w:val="28"/>
          <w:szCs w:val="28"/>
        </w:rPr>
        <w:t>评估对象和评估范围</w:t>
      </w:r>
      <w:r>
        <w:rPr>
          <w:rFonts w:ascii="仿宋" w:hAnsi="仿宋" w:cs="仿宋" w:eastAsia="仿宋"/>
          <w:sz w:val="28"/>
          <w:szCs w:val="28"/>
        </w:rPr>
      </w:r>
    </w:p>
    <w:p>
      <w:pPr>
        <w:pStyle w:val="BodyText"/>
        <w:spacing w:line="386" w:lineRule="auto" w:before="210"/>
        <w:ind w:right="0" w:firstLine="576"/>
        <w:jc w:val="left"/>
      </w:pPr>
      <w:r>
        <w:rPr>
          <w:rFonts w:ascii="Times New Roman" w:hAnsi="Times New Roman" w:cs="Times New Roman" w:eastAsia="Times New Roman"/>
          <w:spacing w:val="-4"/>
        </w:rPr>
        <w:t>1</w:t>
      </w:r>
      <w:r>
        <w:rPr>
          <w:spacing w:val="-4"/>
        </w:rPr>
        <w:t>．评估对象：牙鲆鱼养殖示范开发项目中涉及的房屋、机器设备、土</w:t>
      </w:r>
      <w:r>
        <w:rPr>
          <w:w w:val="100"/>
        </w:rPr>
        <w:t> </w:t>
      </w:r>
      <w:r>
        <w:rPr/>
        <w:t>地使用权（租金）等资产的市场价值。</w:t>
      </w:r>
    </w:p>
    <w:p>
      <w:pPr>
        <w:pStyle w:val="BodyText"/>
        <w:spacing w:line="372" w:lineRule="auto" w:before="86"/>
        <w:ind w:right="0" w:firstLine="576"/>
        <w:jc w:val="left"/>
      </w:pPr>
      <w:r>
        <w:rPr>
          <w:rFonts w:ascii="Calibri" w:hAnsi="Calibri" w:cs="Calibri" w:eastAsia="Calibri"/>
          <w:spacing w:val="-4"/>
        </w:rPr>
        <w:t>2</w:t>
      </w:r>
      <w:r>
        <w:rPr>
          <w:spacing w:val="-4"/>
        </w:rPr>
        <w:t>．评估范围：牙鲆鱼养殖示范开发项目中涉及的房屋、机器设备、土</w:t>
      </w:r>
      <w:r>
        <w:rPr>
          <w:w w:val="100"/>
        </w:rPr>
        <w:t> </w:t>
      </w:r>
      <w:r>
        <w:rPr/>
        <w:t>地等资产。</w:t>
      </w:r>
    </w:p>
    <w:p>
      <w:pPr>
        <w:pStyle w:val="Heading3"/>
        <w:spacing w:line="340" w:lineRule="exact"/>
        <w:ind w:left="694" w:right="2724" w:hanging="576"/>
        <w:jc w:val="left"/>
        <w:rPr>
          <w:b w:val="0"/>
          <w:bCs w:val="0"/>
        </w:rPr>
      </w:pPr>
      <w:r>
        <w:rPr/>
        <w:t>四</w:t>
      </w:r>
      <w:bookmarkStart w:name="四、价值类型及其定义" w:id="31"/>
      <w:bookmarkEnd w:id="31"/>
      <w:r>
        <w:rPr/>
      </w:r>
      <w:bookmarkStart w:name="_bookmark6" w:id="32"/>
      <w:bookmarkEnd w:id="32"/>
      <w:r>
        <w:rPr/>
        <w:t>、</w:t>
      </w:r>
      <w:r>
        <w:rPr/>
        <w:t>价值类型及其定义</w:t>
      </w:r>
      <w:r>
        <w:rPr>
          <w:b w:val="0"/>
          <w:bCs w:val="0"/>
        </w:rPr>
      </w:r>
    </w:p>
    <w:p>
      <w:pPr>
        <w:spacing w:line="240" w:lineRule="auto" w:before="7"/>
        <w:rPr>
          <w:rFonts w:ascii="仿宋" w:hAnsi="仿宋" w:cs="仿宋" w:eastAsia="仿宋"/>
          <w:b/>
          <w:bCs/>
          <w:sz w:val="23"/>
          <w:szCs w:val="23"/>
        </w:rPr>
      </w:pPr>
    </w:p>
    <w:p>
      <w:pPr>
        <w:pStyle w:val="BodyText"/>
        <w:spacing w:line="240" w:lineRule="auto" w:before="0"/>
        <w:ind w:right="0" w:firstLine="576"/>
        <w:jc w:val="left"/>
      </w:pPr>
      <w:r>
        <w:rPr>
          <w:spacing w:val="7"/>
        </w:rPr>
        <w:t>市场价值</w:t>
      </w:r>
      <w:r>
        <w:rPr>
          <w:rFonts w:ascii="Calibri" w:hAnsi="Calibri" w:cs="Calibri" w:eastAsia="Calibri"/>
          <w:spacing w:val="7"/>
        </w:rPr>
        <w:t>:</w:t>
      </w:r>
      <w:r>
        <w:rPr>
          <w:spacing w:val="7"/>
        </w:rPr>
        <w:t>是指自愿买方和自愿卖方在各自理性行事未受任何强迫的</w:t>
      </w:r>
    </w:p>
    <w:p>
      <w:pPr>
        <w:pStyle w:val="BodyText"/>
        <w:spacing w:line="324" w:lineRule="auto" w:before="221"/>
        <w:ind w:right="0"/>
        <w:jc w:val="left"/>
        <w:rPr>
          <w:rFonts w:ascii="仿宋" w:hAnsi="仿宋" w:cs="仿宋" w:eastAsia="仿宋"/>
        </w:rPr>
      </w:pPr>
      <w:r>
        <w:rPr>
          <w:spacing w:val="5"/>
        </w:rPr>
        <w:t>情况下，评估对象在评估基准日进行正常公平交易的价值估计数额。</w:t>
      </w:r>
      <w:r>
        <w:rPr>
          <w:spacing w:val="-58"/>
        </w:rPr>
        <w:t> </w:t>
      </w:r>
      <w:r>
        <w:rPr>
          <w:spacing w:val="-58"/>
        </w:rPr>
      </w:r>
      <w:r>
        <w:rPr>
          <w:rFonts w:ascii="仿宋" w:hAnsi="仿宋" w:cs="仿宋" w:eastAsia="仿宋"/>
          <w:b/>
          <w:bCs/>
        </w:rPr>
        <w:t>五</w:t>
      </w:r>
      <w:bookmarkStart w:name="五、评估基准日" w:id="33"/>
      <w:bookmarkEnd w:id="33"/>
      <w:r>
        <w:rPr>
          <w:rFonts w:ascii="仿宋" w:hAnsi="仿宋" w:cs="仿宋" w:eastAsia="仿宋"/>
          <w:b/>
          <w:bCs/>
        </w:rPr>
      </w:r>
      <w:bookmarkStart w:name="_bookmark7" w:id="34"/>
      <w:bookmarkEnd w:id="34"/>
      <w:r>
        <w:rPr>
          <w:rFonts w:ascii="仿宋" w:hAnsi="仿宋" w:cs="仿宋" w:eastAsia="仿宋"/>
          <w:b/>
          <w:bCs/>
        </w:rPr>
        <w:t>、</w:t>
      </w:r>
      <w:r>
        <w:rPr>
          <w:rFonts w:ascii="仿宋" w:hAnsi="仿宋" w:cs="仿宋" w:eastAsia="仿宋"/>
          <w:b/>
          <w:bCs/>
        </w:rPr>
        <w:t>评估基准日</w:t>
      </w:r>
      <w:r>
        <w:rPr>
          <w:rFonts w:ascii="仿宋" w:hAnsi="仿宋" w:cs="仿宋" w:eastAsia="仿宋"/>
        </w:rPr>
      </w:r>
    </w:p>
    <w:p>
      <w:pPr>
        <w:pStyle w:val="BodyText"/>
        <w:spacing w:line="624" w:lineRule="exact" w:before="38"/>
        <w:ind w:left="694" w:right="4192"/>
        <w:jc w:val="left"/>
      </w:pPr>
      <w:r>
        <w:rPr>
          <w:spacing w:val="5"/>
        </w:rPr>
        <w:t>本项目评估基准日是：</w:t>
      </w:r>
      <w:r>
        <w:rPr>
          <w:spacing w:val="-118"/>
        </w:rPr>
        <w:t> </w:t>
      </w:r>
      <w:r>
        <w:rPr>
          <w:spacing w:val="-118"/>
        </w:rPr>
      </w:r>
      <w:r>
        <w:rPr>
          <w:spacing w:val="5"/>
        </w:rPr>
        <w:t>评估基准日为</w:t>
      </w:r>
      <w:r>
        <w:rPr>
          <w:spacing w:val="-57"/>
        </w:rPr>
        <w:t> </w:t>
      </w:r>
      <w:r>
        <w:rPr>
          <w:rFonts w:ascii="Calibri" w:hAnsi="Calibri" w:cs="Calibri" w:eastAsia="Calibri"/>
        </w:rPr>
        <w:t>2018</w:t>
      </w:r>
      <w:r>
        <w:rPr>
          <w:rFonts w:ascii="Calibri" w:hAnsi="Calibri" w:cs="Calibri" w:eastAsia="Calibri"/>
          <w:spacing w:val="19"/>
        </w:rPr>
        <w:t> </w:t>
      </w:r>
      <w:r>
        <w:rPr/>
        <w:t>年</w:t>
      </w:r>
      <w:r>
        <w:rPr>
          <w:spacing w:val="-57"/>
        </w:rPr>
        <w:t> </w:t>
      </w:r>
      <w:r>
        <w:rPr>
          <w:rFonts w:ascii="Calibri" w:hAnsi="Calibri" w:cs="Calibri" w:eastAsia="Calibri"/>
        </w:rPr>
        <w:t>6</w:t>
      </w:r>
      <w:r>
        <w:rPr>
          <w:rFonts w:ascii="Calibri" w:hAnsi="Calibri" w:cs="Calibri" w:eastAsia="Calibri"/>
          <w:spacing w:val="16"/>
        </w:rPr>
        <w:t> </w:t>
      </w:r>
      <w:r>
        <w:rPr/>
        <w:t>月</w:t>
      </w:r>
      <w:r>
        <w:rPr>
          <w:spacing w:val="-57"/>
        </w:rPr>
        <w:t> </w:t>
      </w:r>
      <w:r>
        <w:rPr>
          <w:rFonts w:ascii="Calibri" w:hAnsi="Calibri" w:cs="Calibri" w:eastAsia="Calibri"/>
        </w:rPr>
        <w:t>30</w:t>
      </w:r>
      <w:r>
        <w:rPr>
          <w:rFonts w:ascii="Calibri" w:hAnsi="Calibri" w:cs="Calibri" w:eastAsia="Calibri"/>
          <w:spacing w:val="16"/>
        </w:rPr>
        <w:t> </w:t>
      </w:r>
      <w:r>
        <w:rPr>
          <w:spacing w:val="3"/>
        </w:rPr>
        <w:t>日。</w:t>
      </w:r>
    </w:p>
    <w:p>
      <w:pPr>
        <w:pStyle w:val="BodyText"/>
        <w:spacing w:line="321" w:lineRule="auto" w:before="42"/>
        <w:ind w:left="694" w:right="0" w:hanging="17"/>
        <w:jc w:val="left"/>
      </w:pPr>
      <w:r>
        <w:rPr>
          <w:spacing w:val="-2"/>
        </w:rPr>
        <w:t>本项目的评估基准日与《评估业务约定书》约定的评估基准日一致。</w:t>
      </w:r>
      <w:r>
        <w:rPr>
          <w:spacing w:val="-99"/>
        </w:rPr>
        <w:t> </w:t>
      </w:r>
      <w:r>
        <w:rPr>
          <w:spacing w:val="-99"/>
        </w:rPr>
      </w:r>
      <w:r>
        <w:rPr>
          <w:spacing w:val="5"/>
        </w:rPr>
        <w:t>确定评估基准日的相关事项说明：</w:t>
      </w:r>
    </w:p>
    <w:p>
      <w:pPr>
        <w:pStyle w:val="BodyText"/>
        <w:spacing w:line="240" w:lineRule="auto" w:before="162"/>
        <w:ind w:left="677" w:right="0"/>
        <w:jc w:val="left"/>
      </w:pPr>
      <w:r>
        <w:rPr>
          <w:spacing w:val="5"/>
        </w:rPr>
        <w:t>（一）评估基准日确定的理由：为确切地反映委估对象的公允价值，</w:t>
      </w:r>
    </w:p>
    <w:p>
      <w:pPr>
        <w:spacing w:after="0" w:line="240" w:lineRule="auto"/>
        <w:jc w:val="left"/>
        <w:sectPr>
          <w:footerReference w:type="default" r:id="rId8"/>
          <w:pgSz w:w="11910" w:h="16840"/>
          <w:pgMar w:footer="1196" w:header="878" w:top="1100" w:bottom="1380" w:left="1300" w:right="1180"/>
          <w:pgNumType w:start="6"/>
        </w:sectPr>
      </w:pPr>
    </w:p>
    <w:p>
      <w:pPr>
        <w:spacing w:line="240" w:lineRule="auto" w:before="0"/>
        <w:rPr>
          <w:rFonts w:ascii="仿宋" w:hAnsi="仿宋" w:cs="仿宋" w:eastAsia="仿宋"/>
          <w:sz w:val="20"/>
          <w:szCs w:val="20"/>
        </w:rPr>
      </w:pPr>
    </w:p>
    <w:p>
      <w:pPr>
        <w:pStyle w:val="BodyText"/>
        <w:spacing w:line="240" w:lineRule="auto" w:before="146"/>
        <w:ind w:left="677" w:right="0"/>
        <w:jc w:val="left"/>
      </w:pPr>
      <w:r>
        <w:rPr>
          <w:spacing w:val="5"/>
        </w:rPr>
        <w:t>有利于本项目评估目的顺利实现，经评估机构与委托方一致商定。</w:t>
      </w:r>
    </w:p>
    <w:p>
      <w:pPr>
        <w:spacing w:line="240" w:lineRule="auto" w:before="9"/>
        <w:rPr>
          <w:rFonts w:ascii="仿宋" w:hAnsi="仿宋" w:cs="仿宋" w:eastAsia="仿宋"/>
          <w:sz w:val="19"/>
          <w:szCs w:val="19"/>
        </w:rPr>
      </w:pPr>
    </w:p>
    <w:p>
      <w:pPr>
        <w:pStyle w:val="BodyText"/>
        <w:spacing w:line="408" w:lineRule="auto" w:before="0"/>
        <w:ind w:left="677" w:right="0"/>
        <w:jc w:val="left"/>
      </w:pPr>
      <w:r>
        <w:rPr/>
        <w:t>（二）本次评估的一切取价标准和利率、汇率、税率均为评估基准日</w:t>
      </w:r>
      <w:r>
        <w:rPr>
          <w:spacing w:val="-38"/>
        </w:rPr>
        <w:t> </w:t>
      </w:r>
      <w:r>
        <w:rPr>
          <w:spacing w:val="-38"/>
        </w:rPr>
      </w:r>
      <w:r>
        <w:rPr>
          <w:spacing w:val="5"/>
        </w:rPr>
        <w:t>有效价格标准和利率、汇率、税率价格。</w:t>
      </w:r>
    </w:p>
    <w:p>
      <w:pPr>
        <w:pStyle w:val="Heading3"/>
        <w:spacing w:line="296" w:lineRule="exact"/>
        <w:ind w:left="118" w:right="0"/>
        <w:jc w:val="left"/>
        <w:rPr>
          <w:b w:val="0"/>
          <w:bCs w:val="0"/>
        </w:rPr>
      </w:pPr>
      <w:r>
        <w:rPr/>
        <w:t>六</w:t>
      </w:r>
      <w:bookmarkStart w:name="六、评估依据" w:id="35"/>
      <w:bookmarkEnd w:id="35"/>
      <w:r>
        <w:rPr/>
      </w:r>
      <w:bookmarkStart w:name="_bookmark8" w:id="36"/>
      <w:bookmarkEnd w:id="36"/>
      <w:r>
        <w:rPr/>
        <w:t>、</w:t>
      </w:r>
      <w:r>
        <w:rPr/>
        <w:t>评估依据</w:t>
      </w:r>
      <w:r>
        <w:rPr>
          <w:b w:val="0"/>
          <w:bCs w:val="0"/>
        </w:rPr>
      </w:r>
    </w:p>
    <w:p>
      <w:pPr>
        <w:spacing w:line="240" w:lineRule="auto" w:before="7"/>
        <w:rPr>
          <w:rFonts w:ascii="仿宋" w:hAnsi="仿宋" w:cs="仿宋" w:eastAsia="仿宋"/>
          <w:b/>
          <w:bCs/>
          <w:sz w:val="23"/>
          <w:szCs w:val="23"/>
        </w:rPr>
      </w:pPr>
    </w:p>
    <w:p>
      <w:pPr>
        <w:spacing w:before="0"/>
        <w:ind w:left="538" w:right="0" w:firstLine="0"/>
        <w:jc w:val="left"/>
        <w:rPr>
          <w:rFonts w:ascii="仿宋" w:hAnsi="仿宋" w:cs="仿宋" w:eastAsia="仿宋"/>
          <w:sz w:val="28"/>
          <w:szCs w:val="28"/>
        </w:rPr>
      </w:pPr>
      <w:r>
        <w:rPr>
          <w:rFonts w:ascii="仿宋" w:hAnsi="仿宋" w:cs="仿宋" w:eastAsia="仿宋"/>
          <w:b/>
          <w:bCs/>
          <w:spacing w:val="6"/>
          <w:sz w:val="28"/>
          <w:szCs w:val="28"/>
        </w:rPr>
        <w:t>（一）法律依据</w:t>
      </w:r>
      <w:r>
        <w:rPr>
          <w:rFonts w:ascii="仿宋" w:hAnsi="仿宋" w:cs="仿宋" w:eastAsia="仿宋"/>
          <w:spacing w:val="6"/>
          <w:sz w:val="28"/>
          <w:szCs w:val="28"/>
        </w:rPr>
      </w:r>
    </w:p>
    <w:p>
      <w:pPr>
        <w:spacing w:line="240" w:lineRule="auto" w:before="9"/>
        <w:rPr>
          <w:rFonts w:ascii="仿宋" w:hAnsi="仿宋" w:cs="仿宋" w:eastAsia="仿宋"/>
          <w:b/>
          <w:bCs/>
          <w:sz w:val="19"/>
          <w:szCs w:val="19"/>
        </w:rPr>
      </w:pPr>
    </w:p>
    <w:p>
      <w:pPr>
        <w:pStyle w:val="BodyText"/>
        <w:spacing w:line="240" w:lineRule="auto" w:before="0"/>
        <w:ind w:left="677" w:right="0"/>
        <w:jc w:val="left"/>
      </w:pPr>
      <w:r>
        <w:rPr>
          <w:rFonts w:ascii="Calibri" w:hAnsi="Calibri" w:cs="Calibri" w:eastAsia="Calibri"/>
        </w:rPr>
        <w:t>1</w:t>
      </w:r>
      <w:r>
        <w:rPr/>
        <w:t>．《中华人民共和国公司法》（中华人民共和国主席令第</w:t>
      </w:r>
      <w:r>
        <w:rPr>
          <w:spacing w:val="-80"/>
        </w:rPr>
        <w:t> </w:t>
      </w:r>
      <w:r>
        <w:rPr>
          <w:rFonts w:ascii="Calibri" w:hAnsi="Calibri" w:cs="Calibri" w:eastAsia="Calibri"/>
        </w:rPr>
        <w:t>42</w:t>
      </w:r>
      <w:r>
        <w:rPr>
          <w:rFonts w:ascii="Calibri" w:hAnsi="Calibri" w:cs="Calibri" w:eastAsia="Calibri"/>
          <w:spacing w:val="-4"/>
        </w:rPr>
        <w:t> </w:t>
      </w:r>
      <w:r>
        <w:rPr/>
        <w:t>号）；</w:t>
      </w:r>
    </w:p>
    <w:p>
      <w:pPr>
        <w:pStyle w:val="BodyText"/>
        <w:spacing w:line="240" w:lineRule="auto" w:before="221"/>
        <w:ind w:left="677" w:right="0"/>
        <w:jc w:val="left"/>
      </w:pPr>
      <w:r>
        <w:rPr>
          <w:rFonts w:ascii="Calibri" w:hAnsi="Calibri" w:cs="Calibri" w:eastAsia="Calibri"/>
        </w:rPr>
        <w:t>2</w:t>
      </w:r>
      <w:r>
        <w:rPr/>
        <w:t>．《中华人民共和国合同法》（中华人民共和国主席令第</w:t>
      </w:r>
      <w:r>
        <w:rPr>
          <w:spacing w:val="-80"/>
        </w:rPr>
        <w:t> </w:t>
      </w:r>
      <w:r>
        <w:rPr>
          <w:rFonts w:ascii="Calibri" w:hAnsi="Calibri" w:cs="Calibri" w:eastAsia="Calibri"/>
        </w:rPr>
        <w:t>15</w:t>
      </w:r>
      <w:r>
        <w:rPr>
          <w:rFonts w:ascii="Calibri" w:hAnsi="Calibri" w:cs="Calibri" w:eastAsia="Calibri"/>
          <w:spacing w:val="-4"/>
        </w:rPr>
        <w:t> </w:t>
      </w:r>
      <w:r>
        <w:rPr/>
        <w:t>号）；</w:t>
      </w:r>
    </w:p>
    <w:p>
      <w:pPr>
        <w:pStyle w:val="BodyText"/>
        <w:spacing w:line="372" w:lineRule="auto" w:before="221"/>
        <w:ind w:right="0" w:firstLine="559"/>
        <w:jc w:val="left"/>
      </w:pPr>
      <w:r>
        <w:rPr>
          <w:rFonts w:ascii="Calibri" w:hAnsi="Calibri" w:cs="Calibri" w:eastAsia="Calibri"/>
          <w:spacing w:val="-7"/>
        </w:rPr>
        <w:t>3</w:t>
      </w:r>
      <w:r>
        <w:rPr>
          <w:spacing w:val="-7"/>
        </w:rPr>
        <w:t>．《中华人民共和国资产评估法》（</w:t>
      </w:r>
      <w:r>
        <w:rPr>
          <w:rFonts w:ascii="Calibri" w:hAnsi="Calibri" w:cs="Calibri" w:eastAsia="Calibri"/>
          <w:spacing w:val="-7"/>
        </w:rPr>
        <w:t>2016</w:t>
      </w:r>
      <w:r>
        <w:rPr>
          <w:rFonts w:ascii="Calibri" w:hAnsi="Calibri" w:cs="Calibri" w:eastAsia="Calibri"/>
          <w:spacing w:val="11"/>
        </w:rPr>
        <w:t> </w:t>
      </w:r>
      <w:r>
        <w:rPr/>
        <w:t>年</w:t>
      </w:r>
      <w:r>
        <w:rPr>
          <w:spacing w:val="-68"/>
        </w:rPr>
        <w:t> </w:t>
      </w:r>
      <w:r>
        <w:rPr>
          <w:rFonts w:ascii="Calibri" w:hAnsi="Calibri" w:cs="Calibri" w:eastAsia="Calibri"/>
        </w:rPr>
        <w:t>7</w:t>
      </w:r>
      <w:r>
        <w:rPr>
          <w:rFonts w:ascii="Calibri" w:hAnsi="Calibri" w:cs="Calibri" w:eastAsia="Calibri"/>
          <w:spacing w:val="8"/>
        </w:rPr>
        <w:t> </w:t>
      </w:r>
      <w:r>
        <w:rPr/>
        <w:t>月</w:t>
      </w:r>
      <w:r>
        <w:rPr>
          <w:spacing w:val="-68"/>
        </w:rPr>
        <w:t> </w:t>
      </w:r>
      <w:r>
        <w:rPr>
          <w:rFonts w:ascii="Calibri" w:hAnsi="Calibri" w:cs="Calibri" w:eastAsia="Calibri"/>
        </w:rPr>
        <w:t>2</w:t>
      </w:r>
      <w:r>
        <w:rPr>
          <w:rFonts w:ascii="Calibri" w:hAnsi="Calibri" w:cs="Calibri" w:eastAsia="Calibri"/>
          <w:spacing w:val="11"/>
        </w:rPr>
        <w:t> </w:t>
      </w:r>
      <w:r>
        <w:rPr/>
        <w:t>日第十二届全国人</w:t>
      </w:r>
      <w:r>
        <w:rPr>
          <w:w w:val="100"/>
        </w:rPr>
        <w:t> </w:t>
      </w:r>
      <w:r>
        <w:rPr/>
        <w:t>民代表大会常务委员会第二十一次会议通过）；</w:t>
      </w:r>
    </w:p>
    <w:p>
      <w:pPr>
        <w:pStyle w:val="BodyText"/>
        <w:spacing w:line="372" w:lineRule="auto" w:before="103"/>
        <w:ind w:right="0" w:firstLine="559"/>
        <w:jc w:val="left"/>
      </w:pPr>
      <w:r>
        <w:rPr>
          <w:rFonts w:ascii="Calibri" w:hAnsi="Calibri" w:cs="Calibri" w:eastAsia="Calibri"/>
        </w:rPr>
        <w:t>4</w:t>
      </w:r>
      <w:r>
        <w:rPr/>
        <w:t>．《中华人民共和国物权法》（</w:t>
      </w:r>
      <w:r>
        <w:rPr>
          <w:rFonts w:ascii="Calibri" w:hAnsi="Calibri" w:cs="Calibri" w:eastAsia="Calibri"/>
        </w:rPr>
        <w:t>2007</w:t>
      </w:r>
      <w:r>
        <w:rPr>
          <w:rFonts w:ascii="Calibri" w:hAnsi="Calibri" w:cs="Calibri" w:eastAsia="Calibri"/>
          <w:spacing w:val="9"/>
        </w:rPr>
        <w:t> </w:t>
      </w:r>
      <w:r>
        <w:rPr/>
        <w:t>年</w:t>
      </w:r>
      <w:r>
        <w:rPr>
          <w:spacing w:val="-70"/>
        </w:rPr>
        <w:t> </w:t>
      </w:r>
      <w:r>
        <w:rPr>
          <w:rFonts w:ascii="Calibri" w:hAnsi="Calibri" w:cs="Calibri" w:eastAsia="Calibri"/>
        </w:rPr>
        <w:t>3</w:t>
      </w:r>
      <w:r>
        <w:rPr>
          <w:rFonts w:ascii="Calibri" w:hAnsi="Calibri" w:cs="Calibri" w:eastAsia="Calibri"/>
          <w:spacing w:val="9"/>
        </w:rPr>
        <w:t> </w:t>
      </w:r>
      <w:r>
        <w:rPr/>
        <w:t>月</w:t>
      </w:r>
      <w:r>
        <w:rPr>
          <w:spacing w:val="-70"/>
        </w:rPr>
        <w:t> </w:t>
      </w:r>
      <w:r>
        <w:rPr>
          <w:rFonts w:ascii="Calibri" w:hAnsi="Calibri" w:cs="Calibri" w:eastAsia="Calibri"/>
        </w:rPr>
        <w:t>16</w:t>
      </w:r>
      <w:r>
        <w:rPr>
          <w:rFonts w:ascii="Calibri" w:hAnsi="Calibri" w:cs="Calibri" w:eastAsia="Calibri"/>
          <w:spacing w:val="9"/>
        </w:rPr>
        <w:t> </w:t>
      </w:r>
      <w:r>
        <w:rPr/>
        <w:t>日第十届全国人民代</w:t>
      </w:r>
      <w:r>
        <w:rPr>
          <w:w w:val="100"/>
        </w:rPr>
        <w:t> </w:t>
      </w:r>
      <w:r>
        <w:rPr/>
        <w:t>表大会第五次会议通过）；</w:t>
      </w:r>
    </w:p>
    <w:p>
      <w:pPr>
        <w:pStyle w:val="BodyText"/>
        <w:spacing w:line="372" w:lineRule="auto" w:before="103"/>
        <w:ind w:right="0" w:firstLine="576"/>
        <w:jc w:val="left"/>
      </w:pPr>
      <w:r>
        <w:rPr>
          <w:rFonts w:ascii="Calibri" w:hAnsi="Calibri" w:cs="Calibri" w:eastAsia="Calibri"/>
        </w:rPr>
        <w:t>5</w:t>
      </w:r>
      <w:r>
        <w:rPr/>
        <w:t>．《中华人民共和国土地管理法》（</w:t>
      </w:r>
      <w:r>
        <w:rPr>
          <w:rFonts w:ascii="Calibri" w:hAnsi="Calibri" w:cs="Calibri" w:eastAsia="Calibri"/>
        </w:rPr>
        <w:t>2004</w:t>
      </w:r>
      <w:r>
        <w:rPr>
          <w:rFonts w:ascii="Calibri" w:hAnsi="Calibri" w:cs="Calibri" w:eastAsia="Calibri"/>
          <w:spacing w:val="7"/>
        </w:rPr>
        <w:t> </w:t>
      </w:r>
      <w:r>
        <w:rPr/>
        <w:t>年</w:t>
      </w:r>
      <w:r>
        <w:rPr>
          <w:spacing w:val="-69"/>
        </w:rPr>
        <w:t> </w:t>
      </w:r>
      <w:r>
        <w:rPr>
          <w:rFonts w:ascii="Calibri" w:hAnsi="Calibri" w:cs="Calibri" w:eastAsia="Calibri"/>
        </w:rPr>
        <w:t>8</w:t>
      </w:r>
      <w:r>
        <w:rPr>
          <w:rFonts w:ascii="Calibri" w:hAnsi="Calibri" w:cs="Calibri" w:eastAsia="Calibri"/>
          <w:spacing w:val="9"/>
        </w:rPr>
        <w:t> </w:t>
      </w:r>
      <w:r>
        <w:rPr/>
        <w:t>月</w:t>
      </w:r>
      <w:r>
        <w:rPr>
          <w:spacing w:val="-69"/>
        </w:rPr>
        <w:t> </w:t>
      </w:r>
      <w:r>
        <w:rPr>
          <w:rFonts w:ascii="Calibri" w:hAnsi="Calibri" w:cs="Calibri" w:eastAsia="Calibri"/>
        </w:rPr>
        <w:t>28</w:t>
      </w:r>
      <w:r>
        <w:rPr>
          <w:rFonts w:ascii="Calibri" w:hAnsi="Calibri" w:cs="Calibri" w:eastAsia="Calibri"/>
          <w:spacing w:val="7"/>
        </w:rPr>
        <w:t> </w:t>
      </w:r>
      <w:r>
        <w:rPr/>
        <w:t>日第十届全国人</w:t>
      </w:r>
      <w:r>
        <w:rPr>
          <w:w w:val="100"/>
        </w:rPr>
        <w:t> </w:t>
      </w:r>
      <w:r>
        <w:rPr/>
        <w:t>民代表大会常务委员会第十一次会议修订通过）；</w:t>
      </w:r>
    </w:p>
    <w:p>
      <w:pPr>
        <w:pStyle w:val="BodyText"/>
        <w:spacing w:line="372" w:lineRule="auto" w:before="103"/>
        <w:ind w:right="0" w:firstLine="576"/>
        <w:jc w:val="left"/>
      </w:pPr>
      <w:r>
        <w:rPr>
          <w:rFonts w:ascii="Calibri" w:hAnsi="Calibri" w:cs="Calibri" w:eastAsia="Calibri"/>
        </w:rPr>
        <w:t>6</w:t>
      </w:r>
      <w:r>
        <w:rPr/>
        <w:t>．《中华人民共和国城市房地产管理法》（</w:t>
      </w:r>
      <w:r>
        <w:rPr>
          <w:rFonts w:ascii="Calibri" w:hAnsi="Calibri" w:cs="Calibri" w:eastAsia="Calibri"/>
        </w:rPr>
        <w:t>2007</w:t>
      </w:r>
      <w:r>
        <w:rPr>
          <w:rFonts w:ascii="Calibri" w:hAnsi="Calibri" w:cs="Calibri" w:eastAsia="Calibri"/>
          <w:spacing w:val="8"/>
        </w:rPr>
        <w:t> </w:t>
      </w:r>
      <w:r>
        <w:rPr/>
        <w:t>年</w:t>
      </w:r>
      <w:r>
        <w:rPr>
          <w:spacing w:val="-70"/>
        </w:rPr>
        <w:t> </w:t>
      </w:r>
      <w:r>
        <w:rPr>
          <w:rFonts w:ascii="Calibri" w:hAnsi="Calibri" w:cs="Calibri" w:eastAsia="Calibri"/>
        </w:rPr>
        <w:t>8</w:t>
      </w:r>
      <w:r>
        <w:rPr>
          <w:rFonts w:ascii="Calibri" w:hAnsi="Calibri" w:cs="Calibri" w:eastAsia="Calibri"/>
          <w:spacing w:val="6"/>
        </w:rPr>
        <w:t> </w:t>
      </w:r>
      <w:r>
        <w:rPr/>
        <w:t>月</w:t>
      </w:r>
      <w:r>
        <w:rPr>
          <w:spacing w:val="-70"/>
        </w:rPr>
        <w:t> </w:t>
      </w:r>
      <w:r>
        <w:rPr>
          <w:rFonts w:ascii="Calibri" w:hAnsi="Calibri" w:cs="Calibri" w:eastAsia="Calibri"/>
        </w:rPr>
        <w:t>30</w:t>
      </w:r>
      <w:r>
        <w:rPr>
          <w:rFonts w:ascii="Calibri" w:hAnsi="Calibri" w:cs="Calibri" w:eastAsia="Calibri"/>
          <w:spacing w:val="6"/>
        </w:rPr>
        <w:t> </w:t>
      </w:r>
      <w:r>
        <w:rPr/>
        <w:t>日第十届</w:t>
      </w:r>
      <w:r>
        <w:rPr>
          <w:w w:val="100"/>
        </w:rPr>
        <w:t> </w:t>
      </w:r>
      <w:r>
        <w:rPr/>
        <w:t>全国人民代表大会常务委员会第二十九次会议修订通过）；</w:t>
      </w:r>
    </w:p>
    <w:p>
      <w:pPr>
        <w:pStyle w:val="BodyText"/>
        <w:spacing w:line="372" w:lineRule="auto" w:before="103"/>
        <w:ind w:right="0" w:firstLine="559"/>
        <w:jc w:val="left"/>
      </w:pPr>
      <w:r>
        <w:rPr>
          <w:rFonts w:ascii="Calibri" w:hAnsi="Calibri" w:cs="Calibri" w:eastAsia="Calibri"/>
          <w:spacing w:val="-7"/>
        </w:rPr>
        <w:t>7</w:t>
      </w:r>
      <w:r>
        <w:rPr>
          <w:spacing w:val="-7"/>
        </w:rPr>
        <w:t>．中华人民共和国企业国有资产法（</w:t>
      </w:r>
      <w:r>
        <w:rPr>
          <w:rFonts w:ascii="Calibri" w:hAnsi="Calibri" w:cs="Calibri" w:eastAsia="Calibri"/>
          <w:spacing w:val="-7"/>
        </w:rPr>
        <w:t>2008</w:t>
      </w:r>
      <w:r>
        <w:rPr>
          <w:rFonts w:ascii="Calibri" w:hAnsi="Calibri" w:cs="Calibri" w:eastAsia="Calibri"/>
          <w:spacing w:val="10"/>
        </w:rPr>
        <w:t> </w:t>
      </w:r>
      <w:r>
        <w:rPr/>
        <w:t>年</w:t>
      </w:r>
      <w:r>
        <w:rPr>
          <w:spacing w:val="-70"/>
        </w:rPr>
        <w:t> </w:t>
      </w:r>
      <w:r>
        <w:rPr>
          <w:rFonts w:ascii="Calibri" w:hAnsi="Calibri" w:cs="Calibri" w:eastAsia="Calibri"/>
        </w:rPr>
        <w:t>10</w:t>
      </w:r>
      <w:r>
        <w:rPr>
          <w:rFonts w:ascii="Calibri" w:hAnsi="Calibri" w:cs="Calibri" w:eastAsia="Calibri"/>
          <w:spacing w:val="10"/>
        </w:rPr>
        <w:t> </w:t>
      </w:r>
      <w:r>
        <w:rPr/>
        <w:t>月</w:t>
      </w:r>
      <w:r>
        <w:rPr>
          <w:spacing w:val="-68"/>
        </w:rPr>
        <w:t> </w:t>
      </w:r>
      <w:r>
        <w:rPr>
          <w:rFonts w:ascii="Calibri" w:hAnsi="Calibri" w:cs="Calibri" w:eastAsia="Calibri"/>
        </w:rPr>
        <w:t>28</w:t>
      </w:r>
      <w:r>
        <w:rPr>
          <w:rFonts w:ascii="Calibri" w:hAnsi="Calibri" w:cs="Calibri" w:eastAsia="Calibri"/>
          <w:spacing w:val="8"/>
        </w:rPr>
        <w:t> </w:t>
      </w:r>
      <w:r>
        <w:rPr/>
        <w:t>日第十一届全国</w:t>
      </w:r>
      <w:r>
        <w:rPr>
          <w:w w:val="100"/>
        </w:rPr>
        <w:t> </w:t>
      </w:r>
      <w:r>
        <w:rPr/>
        <w:t>人民代表大会常务委员会第五次会议通过）；</w:t>
      </w:r>
    </w:p>
    <w:p>
      <w:pPr>
        <w:pStyle w:val="BodyText"/>
        <w:spacing w:line="240" w:lineRule="auto" w:before="103"/>
        <w:ind w:left="677" w:right="0"/>
        <w:jc w:val="left"/>
      </w:pPr>
      <w:r>
        <w:rPr>
          <w:rFonts w:ascii="Calibri" w:hAnsi="Calibri" w:cs="Calibri" w:eastAsia="Calibri"/>
        </w:rPr>
        <w:t>8</w:t>
      </w:r>
      <w:r>
        <w:rPr/>
        <w:t>．国务院</w:t>
      </w:r>
      <w:r>
        <w:rPr>
          <w:spacing w:val="-76"/>
        </w:rPr>
        <w:t> </w:t>
      </w:r>
      <w:r>
        <w:rPr>
          <w:rFonts w:ascii="Calibri" w:hAnsi="Calibri" w:cs="Calibri" w:eastAsia="Calibri"/>
        </w:rPr>
        <w:t>91 </w:t>
      </w:r>
      <w:r>
        <w:rPr/>
        <w:t>号令《国有资产评估管理办法》（</w:t>
      </w:r>
      <w:r>
        <w:rPr>
          <w:rFonts w:ascii="Calibri" w:hAnsi="Calibri" w:cs="Calibri" w:eastAsia="Calibri"/>
        </w:rPr>
        <w:t>1991</w:t>
      </w:r>
      <w:r>
        <w:rPr>
          <w:rFonts w:ascii="Calibri" w:hAnsi="Calibri" w:cs="Calibri" w:eastAsia="Calibri"/>
          <w:spacing w:val="2"/>
        </w:rPr>
        <w:t> </w:t>
      </w:r>
      <w:r>
        <w:rPr/>
        <w:t>年）；</w:t>
      </w:r>
    </w:p>
    <w:p>
      <w:pPr>
        <w:pStyle w:val="BodyText"/>
        <w:spacing w:line="372" w:lineRule="auto" w:before="221"/>
        <w:ind w:right="0" w:firstLine="559"/>
        <w:jc w:val="left"/>
      </w:pPr>
      <w:r>
        <w:rPr>
          <w:rFonts w:ascii="Calibri" w:hAnsi="Calibri" w:cs="Calibri" w:eastAsia="Calibri"/>
        </w:rPr>
        <w:t>9</w:t>
      </w:r>
      <w:r>
        <w:rPr/>
        <w:t>．原国家国有资产管理局发布的国资办发</w:t>
      </w:r>
      <w:r>
        <w:rPr>
          <w:rFonts w:ascii="Calibri" w:hAnsi="Calibri" w:cs="Calibri" w:eastAsia="Calibri"/>
        </w:rPr>
        <w:t>[1992]36</w:t>
      </w:r>
      <w:r>
        <w:rPr>
          <w:rFonts w:ascii="Calibri" w:hAnsi="Calibri" w:cs="Calibri" w:eastAsia="Calibri"/>
          <w:spacing w:val="-11"/>
        </w:rPr>
        <w:t> </w:t>
      </w:r>
      <w:r>
        <w:rPr/>
        <w:t>号《国有资产评估</w:t>
      </w:r>
      <w:r>
        <w:rPr>
          <w:w w:val="100"/>
        </w:rPr>
        <w:t> </w:t>
      </w:r>
      <w:r>
        <w:rPr/>
        <w:t>管理办法施行细则》；</w:t>
      </w:r>
    </w:p>
    <w:p>
      <w:pPr>
        <w:pStyle w:val="BodyText"/>
        <w:spacing w:line="240" w:lineRule="auto" w:before="103"/>
        <w:ind w:left="677" w:right="0"/>
        <w:jc w:val="left"/>
      </w:pPr>
      <w:r>
        <w:rPr>
          <w:rFonts w:ascii="Calibri" w:hAnsi="Calibri" w:cs="Calibri" w:eastAsia="Calibri"/>
        </w:rPr>
        <w:t>10</w:t>
      </w:r>
      <w:r>
        <w:rPr/>
        <w:t>．国务院国资委第</w:t>
      </w:r>
      <w:r>
        <w:rPr>
          <w:spacing w:val="-78"/>
        </w:rPr>
        <w:t> </w:t>
      </w:r>
      <w:r>
        <w:rPr>
          <w:rFonts w:ascii="Calibri" w:hAnsi="Calibri" w:cs="Calibri" w:eastAsia="Calibri"/>
        </w:rPr>
        <w:t>12</w:t>
      </w:r>
      <w:r>
        <w:rPr>
          <w:rFonts w:ascii="Calibri" w:hAnsi="Calibri" w:cs="Calibri" w:eastAsia="Calibri"/>
          <w:spacing w:val="-2"/>
        </w:rPr>
        <w:t> </w:t>
      </w:r>
      <w:r>
        <w:rPr/>
        <w:t>号令《企业国有资产评估管理办法》；</w:t>
      </w:r>
    </w:p>
    <w:p>
      <w:pPr>
        <w:pStyle w:val="BodyText"/>
        <w:spacing w:line="240" w:lineRule="auto" w:before="221"/>
        <w:ind w:left="677" w:right="0"/>
        <w:jc w:val="left"/>
      </w:pPr>
      <w:r>
        <w:rPr>
          <w:rFonts w:ascii="Calibri" w:hAnsi="Calibri" w:cs="Calibri" w:eastAsia="Calibri"/>
        </w:rPr>
        <w:t>11</w:t>
      </w:r>
      <w:r>
        <w:rPr/>
        <w:t>．财政部令第</w:t>
      </w:r>
      <w:r>
        <w:rPr>
          <w:spacing w:val="-80"/>
        </w:rPr>
        <w:t> </w:t>
      </w:r>
      <w:r>
        <w:rPr>
          <w:rFonts w:ascii="Calibri" w:hAnsi="Calibri" w:cs="Calibri" w:eastAsia="Calibri"/>
        </w:rPr>
        <w:t>14</w:t>
      </w:r>
      <w:r>
        <w:rPr>
          <w:rFonts w:ascii="Calibri" w:hAnsi="Calibri" w:cs="Calibri" w:eastAsia="Calibri"/>
          <w:spacing w:val="-2"/>
        </w:rPr>
        <w:t> </w:t>
      </w:r>
      <w:r>
        <w:rPr/>
        <w:t>号《国有资产评估管理若干问题的规定》；</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240" w:lineRule="auto" w:before="146"/>
        <w:ind w:left="677" w:right="114"/>
        <w:jc w:val="left"/>
      </w:pPr>
      <w:r>
        <w:rPr>
          <w:rFonts w:ascii="Calibri" w:hAnsi="Calibri" w:cs="Calibri" w:eastAsia="Calibri"/>
        </w:rPr>
        <w:t>12</w:t>
      </w:r>
      <w:r>
        <w:rPr/>
        <w:t>．国资委、财政部第</w:t>
      </w:r>
      <w:r>
        <w:rPr>
          <w:spacing w:val="-81"/>
        </w:rPr>
        <w:t> </w:t>
      </w:r>
      <w:r>
        <w:rPr>
          <w:rFonts w:ascii="Calibri" w:hAnsi="Calibri" w:cs="Calibri" w:eastAsia="Calibri"/>
        </w:rPr>
        <w:t>3</w:t>
      </w:r>
      <w:r>
        <w:rPr>
          <w:rFonts w:ascii="Calibri" w:hAnsi="Calibri" w:cs="Calibri" w:eastAsia="Calibri"/>
          <w:spacing w:val="-3"/>
        </w:rPr>
        <w:t> </w:t>
      </w:r>
      <w:r>
        <w:rPr/>
        <w:t>号令《企业国有产权转让管理暂行办法》；</w:t>
      </w:r>
    </w:p>
    <w:p>
      <w:pPr>
        <w:pStyle w:val="BodyText"/>
        <w:spacing w:line="240" w:lineRule="auto" w:before="221"/>
        <w:ind w:left="677" w:right="114"/>
        <w:jc w:val="left"/>
      </w:pPr>
      <w:r>
        <w:rPr>
          <w:rFonts w:ascii="Calibri" w:hAnsi="Calibri" w:cs="Calibri" w:eastAsia="Calibri"/>
          <w:spacing w:val="-2"/>
        </w:rPr>
        <w:t>13</w:t>
      </w:r>
      <w:r>
        <w:rPr>
          <w:spacing w:val="-2"/>
        </w:rPr>
        <w:t>．《企业国有资产评估项目备案工作指引》国资发产权</w:t>
      </w:r>
      <w:r>
        <w:rPr>
          <w:rFonts w:ascii="Calibri" w:hAnsi="Calibri" w:cs="Calibri" w:eastAsia="Calibri"/>
          <w:spacing w:val="-2"/>
        </w:rPr>
        <w:t>[2013]64</w:t>
      </w:r>
      <w:r>
        <w:rPr>
          <w:rFonts w:ascii="Calibri" w:hAnsi="Calibri" w:cs="Calibri" w:eastAsia="Calibri"/>
          <w:spacing w:val="51"/>
        </w:rPr>
        <w:t> </w:t>
      </w:r>
      <w:r>
        <w:rPr>
          <w:spacing w:val="-1"/>
        </w:rPr>
        <w:t>号；</w:t>
      </w:r>
    </w:p>
    <w:p>
      <w:pPr>
        <w:pStyle w:val="BodyText"/>
        <w:spacing w:line="372" w:lineRule="auto" w:before="221"/>
        <w:ind w:right="114" w:firstLine="559"/>
        <w:jc w:val="left"/>
      </w:pPr>
      <w:r>
        <w:rPr>
          <w:rFonts w:ascii="Calibri" w:hAnsi="Calibri" w:cs="Calibri" w:eastAsia="Calibri"/>
          <w:b/>
          <w:bCs/>
          <w:spacing w:val="-2"/>
        </w:rPr>
        <w:t>14</w:t>
      </w:r>
      <w:r>
        <w:rPr>
          <w:rFonts w:ascii="仿宋" w:hAnsi="仿宋" w:cs="仿宋" w:eastAsia="仿宋"/>
          <w:b/>
          <w:bCs/>
          <w:spacing w:val="-2"/>
        </w:rPr>
        <w:t>．</w:t>
      </w:r>
      <w:r>
        <w:rPr>
          <w:spacing w:val="-2"/>
        </w:rPr>
        <w:t>《关于加强企业国有资产评估管理工作有关问题的通知》国资委</w:t>
      </w:r>
      <w:r>
        <w:rPr>
          <w:w w:val="100"/>
        </w:rPr>
        <w:t> </w:t>
      </w:r>
      <w:r>
        <w:rPr/>
        <w:t>产权</w:t>
      </w:r>
      <w:r>
        <w:rPr>
          <w:rFonts w:ascii="Calibri" w:hAnsi="Calibri" w:cs="Calibri" w:eastAsia="Calibri"/>
        </w:rPr>
        <w:t>[2006]274</w:t>
      </w:r>
      <w:r>
        <w:rPr>
          <w:rFonts w:ascii="Calibri" w:hAnsi="Calibri" w:cs="Calibri" w:eastAsia="Calibri"/>
          <w:spacing w:val="3"/>
        </w:rPr>
        <w:t> </w:t>
      </w:r>
      <w:r>
        <w:rPr/>
        <w:t>号；</w:t>
      </w:r>
    </w:p>
    <w:p>
      <w:pPr>
        <w:pStyle w:val="BodyText"/>
        <w:spacing w:line="372" w:lineRule="auto" w:before="33"/>
        <w:ind w:right="114" w:firstLine="559"/>
        <w:jc w:val="left"/>
      </w:pPr>
      <w:r>
        <w:rPr>
          <w:rFonts w:ascii="Calibri" w:hAnsi="Calibri" w:cs="Calibri" w:eastAsia="Calibri"/>
        </w:rPr>
        <w:t>15</w:t>
      </w:r>
      <w:r>
        <w:rPr/>
        <w:t>．《关于企业国有资产评估报告审核工作有关事项的通知》</w:t>
      </w:r>
      <w:r>
        <w:rPr>
          <w:spacing w:val="-49"/>
        </w:rPr>
        <w:t> </w:t>
      </w:r>
      <w:r>
        <w:rPr/>
        <w:t>国资产</w:t>
      </w:r>
      <w:r>
        <w:rPr>
          <w:w w:val="100"/>
        </w:rPr>
        <w:t> </w:t>
      </w:r>
      <w:r>
        <w:rPr/>
        <w:t>权</w:t>
      </w:r>
      <w:r>
        <w:rPr>
          <w:rFonts w:ascii="Calibri" w:hAnsi="Calibri" w:cs="Calibri" w:eastAsia="Calibri"/>
        </w:rPr>
        <w:t>[ 2009]941</w:t>
      </w:r>
      <w:r>
        <w:rPr>
          <w:rFonts w:ascii="Calibri" w:hAnsi="Calibri" w:cs="Calibri" w:eastAsia="Calibri"/>
          <w:spacing w:val="2"/>
        </w:rPr>
        <w:t> </w:t>
      </w:r>
      <w:r>
        <w:rPr/>
        <w:t>号；</w:t>
      </w:r>
    </w:p>
    <w:p>
      <w:pPr>
        <w:pStyle w:val="BodyText"/>
        <w:spacing w:line="372" w:lineRule="auto" w:before="33"/>
        <w:ind w:right="114" w:firstLine="559"/>
        <w:jc w:val="left"/>
      </w:pPr>
      <w:r>
        <w:rPr>
          <w:rFonts w:ascii="Calibri" w:hAnsi="Calibri" w:cs="Calibri" w:eastAsia="Calibri"/>
          <w:spacing w:val="-8"/>
        </w:rPr>
        <w:t>16</w:t>
      </w:r>
      <w:r>
        <w:rPr>
          <w:spacing w:val="-8"/>
        </w:rPr>
        <w:t>．中华人民共和国证券法（</w:t>
      </w:r>
      <w:r>
        <w:rPr>
          <w:rFonts w:ascii="Calibri" w:hAnsi="Calibri" w:cs="Calibri" w:eastAsia="Calibri"/>
          <w:spacing w:val="-8"/>
        </w:rPr>
        <w:t>2014</w:t>
      </w:r>
      <w:r>
        <w:rPr>
          <w:rFonts w:ascii="Calibri" w:hAnsi="Calibri" w:cs="Calibri" w:eastAsia="Calibri"/>
          <w:spacing w:val="9"/>
        </w:rPr>
        <w:t> </w:t>
      </w:r>
      <w:r>
        <w:rPr/>
        <w:t>年</w:t>
      </w:r>
      <w:r>
        <w:rPr>
          <w:spacing w:val="-69"/>
        </w:rPr>
        <w:t> </w:t>
      </w:r>
      <w:r>
        <w:rPr>
          <w:rFonts w:ascii="Calibri" w:hAnsi="Calibri" w:cs="Calibri" w:eastAsia="Calibri"/>
        </w:rPr>
        <w:t>8</w:t>
      </w:r>
      <w:r>
        <w:rPr>
          <w:rFonts w:ascii="Calibri" w:hAnsi="Calibri" w:cs="Calibri" w:eastAsia="Calibri"/>
          <w:spacing w:val="7"/>
        </w:rPr>
        <w:t> </w:t>
      </w:r>
      <w:r>
        <w:rPr/>
        <w:t>月</w:t>
      </w:r>
      <w:r>
        <w:rPr>
          <w:spacing w:val="-69"/>
        </w:rPr>
        <w:t> </w:t>
      </w:r>
      <w:r>
        <w:rPr>
          <w:rFonts w:ascii="Calibri" w:hAnsi="Calibri" w:cs="Calibri" w:eastAsia="Calibri"/>
        </w:rPr>
        <w:t>31</w:t>
      </w:r>
      <w:r>
        <w:rPr>
          <w:rFonts w:ascii="Calibri" w:hAnsi="Calibri" w:cs="Calibri" w:eastAsia="Calibri"/>
          <w:spacing w:val="9"/>
        </w:rPr>
        <w:t> </w:t>
      </w:r>
      <w:r>
        <w:rPr/>
        <w:t>日中华人民共和国第十二</w:t>
      </w:r>
      <w:r>
        <w:rPr>
          <w:w w:val="100"/>
        </w:rPr>
        <w:t> </w:t>
      </w:r>
      <w:r>
        <w:rPr/>
        <w:t>届全国人民代表大会常务委员会第十次会议修改）；</w:t>
      </w:r>
    </w:p>
    <w:p>
      <w:pPr>
        <w:pStyle w:val="BodyText"/>
        <w:spacing w:line="240" w:lineRule="auto" w:before="103"/>
        <w:ind w:left="677" w:right="114"/>
        <w:jc w:val="left"/>
      </w:pPr>
      <w:r>
        <w:rPr>
          <w:rFonts w:ascii="Calibri" w:hAnsi="Calibri" w:cs="Calibri" w:eastAsia="Calibri"/>
        </w:rPr>
        <w:t>17</w:t>
      </w:r>
      <w:r>
        <w:rPr/>
        <w:t>．其他相关法律法规。</w:t>
      </w:r>
    </w:p>
    <w:p>
      <w:pPr>
        <w:pStyle w:val="Heading3"/>
        <w:spacing w:line="240" w:lineRule="auto" w:before="221"/>
        <w:ind w:right="114"/>
        <w:jc w:val="left"/>
        <w:rPr>
          <w:b w:val="0"/>
          <w:bCs w:val="0"/>
        </w:rPr>
      </w:pPr>
      <w:r>
        <w:rPr>
          <w:spacing w:val="6"/>
        </w:rPr>
        <w:t>（二）准则依据</w:t>
      </w:r>
      <w:r>
        <w:rPr>
          <w:b w:val="0"/>
          <w:bCs w:val="0"/>
          <w:spacing w:val="6"/>
        </w:rPr>
      </w:r>
    </w:p>
    <w:p>
      <w:pPr>
        <w:spacing w:line="240" w:lineRule="auto" w:before="9"/>
        <w:rPr>
          <w:rFonts w:ascii="仿宋" w:hAnsi="仿宋" w:cs="仿宋" w:eastAsia="仿宋"/>
          <w:b/>
          <w:bCs/>
          <w:sz w:val="19"/>
          <w:szCs w:val="19"/>
        </w:rPr>
      </w:pPr>
    </w:p>
    <w:p>
      <w:pPr>
        <w:pStyle w:val="BodyText"/>
        <w:spacing w:line="240" w:lineRule="auto" w:before="0"/>
        <w:ind w:left="677" w:right="114"/>
        <w:jc w:val="left"/>
      </w:pPr>
      <w:r>
        <w:rPr>
          <w:rFonts w:ascii="Calibri" w:hAnsi="Calibri" w:cs="Calibri" w:eastAsia="Calibri"/>
        </w:rPr>
        <w:t>1</w:t>
      </w:r>
      <w:r>
        <w:rPr/>
        <w:t>．《资产评估基本准则》（财资［</w:t>
      </w:r>
      <w:r>
        <w:rPr>
          <w:rFonts w:ascii="Calibri" w:hAnsi="Calibri" w:cs="Calibri" w:eastAsia="Calibri"/>
        </w:rPr>
        <w:t>2017</w:t>
      </w:r>
      <w:r>
        <w:rPr/>
        <w:t>］</w:t>
      </w:r>
      <w:r>
        <w:rPr>
          <w:rFonts w:ascii="Calibri" w:hAnsi="Calibri" w:cs="Calibri" w:eastAsia="Calibri"/>
        </w:rPr>
        <w:t>43</w:t>
      </w:r>
      <w:r>
        <w:rPr>
          <w:rFonts w:ascii="Calibri" w:hAnsi="Calibri" w:cs="Calibri" w:eastAsia="Calibri"/>
          <w:spacing w:val="-9"/>
        </w:rPr>
        <w:t> </w:t>
      </w:r>
      <w:r>
        <w:rPr/>
        <w:t>号）；</w:t>
      </w:r>
    </w:p>
    <w:p>
      <w:pPr>
        <w:pStyle w:val="BodyText"/>
        <w:spacing w:line="240" w:lineRule="auto" w:before="221"/>
        <w:ind w:left="677" w:right="114"/>
        <w:jc w:val="left"/>
      </w:pPr>
      <w:r>
        <w:rPr>
          <w:rFonts w:ascii="Calibri" w:hAnsi="Calibri" w:cs="Calibri" w:eastAsia="Calibri"/>
        </w:rPr>
        <w:t>2</w:t>
      </w:r>
      <w:r>
        <w:rPr/>
        <w:t>．《资产评估职业道德准则》（中评协［</w:t>
      </w:r>
      <w:r>
        <w:rPr>
          <w:rFonts w:ascii="Calibri" w:hAnsi="Calibri" w:cs="Calibri" w:eastAsia="Calibri"/>
        </w:rPr>
        <w:t>2017</w:t>
      </w:r>
      <w:r>
        <w:rPr/>
        <w:t>］</w:t>
      </w:r>
      <w:r>
        <w:rPr>
          <w:rFonts w:ascii="Calibri" w:hAnsi="Calibri" w:cs="Calibri" w:eastAsia="Calibri"/>
        </w:rPr>
        <w:t>30</w:t>
      </w:r>
      <w:r>
        <w:rPr>
          <w:rFonts w:ascii="Calibri" w:hAnsi="Calibri" w:cs="Calibri" w:eastAsia="Calibri"/>
          <w:spacing w:val="-11"/>
        </w:rPr>
        <w:t> </w:t>
      </w:r>
      <w:r>
        <w:rPr/>
        <w:t>号）；</w:t>
      </w:r>
    </w:p>
    <w:p>
      <w:pPr>
        <w:pStyle w:val="BodyText"/>
        <w:spacing w:line="240" w:lineRule="auto" w:before="221"/>
        <w:ind w:left="677" w:right="114"/>
        <w:jc w:val="left"/>
      </w:pPr>
      <w:r>
        <w:rPr>
          <w:rFonts w:ascii="Calibri" w:hAnsi="Calibri" w:cs="Calibri" w:eastAsia="Calibri"/>
          <w:spacing w:val="-2"/>
        </w:rPr>
        <w:t>3</w:t>
      </w:r>
      <w:r>
        <w:rPr>
          <w:spacing w:val="-2"/>
        </w:rPr>
        <w:t>．</w:t>
      </w:r>
      <w:hyperlink r:id="rId9">
        <w:r>
          <w:rPr>
            <w:spacing w:val="-2"/>
          </w:rPr>
          <w:t>《资产评估执业准则</w:t>
        </w:r>
        <w:r>
          <w:rPr>
            <w:rFonts w:ascii="Calibri" w:hAnsi="Calibri" w:cs="Calibri" w:eastAsia="Calibri"/>
            <w:spacing w:val="-2"/>
          </w:rPr>
          <w:t>—</w:t>
        </w:r>
        <w:r>
          <w:rPr>
            <w:spacing w:val="-2"/>
          </w:rPr>
          <w:t>资产评估程序》</w:t>
        </w:r>
      </w:hyperlink>
      <w:r>
        <w:rPr>
          <w:spacing w:val="-2"/>
        </w:rPr>
        <w:t>（中评协［</w:t>
      </w:r>
      <w:r>
        <w:rPr>
          <w:rFonts w:ascii="Calibri" w:hAnsi="Calibri" w:cs="Calibri" w:eastAsia="Calibri"/>
          <w:spacing w:val="-2"/>
        </w:rPr>
        <w:t>2017</w:t>
      </w:r>
      <w:r>
        <w:rPr>
          <w:spacing w:val="-2"/>
        </w:rPr>
        <w:t>］</w:t>
      </w:r>
      <w:r>
        <w:rPr>
          <w:rFonts w:ascii="Calibri" w:hAnsi="Calibri" w:cs="Calibri" w:eastAsia="Calibri"/>
          <w:spacing w:val="-2"/>
        </w:rPr>
        <w:t>31</w:t>
      </w:r>
      <w:r>
        <w:rPr>
          <w:rFonts w:ascii="Calibri" w:hAnsi="Calibri" w:cs="Calibri" w:eastAsia="Calibri"/>
          <w:spacing w:val="51"/>
        </w:rPr>
        <w:t> </w:t>
      </w:r>
      <w:r>
        <w:rPr>
          <w:spacing w:val="-1"/>
        </w:rPr>
        <w:t>号）</w:t>
      </w:r>
    </w:p>
    <w:p>
      <w:pPr>
        <w:pStyle w:val="BodyText"/>
        <w:spacing w:line="240" w:lineRule="auto" w:before="221"/>
        <w:ind w:left="677" w:right="114"/>
        <w:jc w:val="left"/>
      </w:pPr>
      <w:r>
        <w:rPr>
          <w:rFonts w:ascii="Calibri" w:hAnsi="Calibri" w:cs="Calibri" w:eastAsia="Calibri"/>
          <w:spacing w:val="-2"/>
        </w:rPr>
        <w:t>4</w:t>
      </w:r>
      <w:r>
        <w:rPr>
          <w:spacing w:val="-2"/>
        </w:rPr>
        <w:t>．</w:t>
      </w:r>
      <w:hyperlink r:id="rId9">
        <w:r>
          <w:rPr>
            <w:spacing w:val="-2"/>
          </w:rPr>
          <w:t>《资产评估执业准则</w:t>
        </w:r>
        <w:r>
          <w:rPr>
            <w:rFonts w:ascii="Calibri" w:hAnsi="Calibri" w:cs="Calibri" w:eastAsia="Calibri"/>
            <w:spacing w:val="-2"/>
          </w:rPr>
          <w:t>—</w:t>
        </w:r>
        <w:r>
          <w:rPr>
            <w:spacing w:val="-2"/>
          </w:rPr>
          <w:t>资产评估报告》</w:t>
        </w:r>
      </w:hyperlink>
      <w:r>
        <w:rPr>
          <w:spacing w:val="-2"/>
        </w:rPr>
        <w:t>（中评协［</w:t>
      </w:r>
      <w:r>
        <w:rPr>
          <w:rFonts w:ascii="Calibri" w:hAnsi="Calibri" w:cs="Calibri" w:eastAsia="Calibri"/>
          <w:spacing w:val="-2"/>
        </w:rPr>
        <w:t>2017</w:t>
      </w:r>
      <w:r>
        <w:rPr>
          <w:spacing w:val="-2"/>
        </w:rPr>
        <w:t>］</w:t>
      </w:r>
      <w:r>
        <w:rPr>
          <w:rFonts w:ascii="Calibri" w:hAnsi="Calibri" w:cs="Calibri" w:eastAsia="Calibri"/>
          <w:spacing w:val="-2"/>
        </w:rPr>
        <w:t>32</w:t>
      </w:r>
      <w:r>
        <w:rPr>
          <w:rFonts w:ascii="Calibri" w:hAnsi="Calibri" w:cs="Calibri" w:eastAsia="Calibri"/>
          <w:spacing w:val="51"/>
        </w:rPr>
        <w:t> </w:t>
      </w:r>
      <w:r>
        <w:rPr>
          <w:spacing w:val="-1"/>
        </w:rPr>
        <w:t>号）</w:t>
      </w:r>
    </w:p>
    <w:p>
      <w:pPr>
        <w:pStyle w:val="BodyText"/>
        <w:spacing w:line="240" w:lineRule="auto" w:before="221"/>
        <w:ind w:left="677" w:right="114"/>
        <w:jc w:val="left"/>
      </w:pPr>
      <w:r>
        <w:rPr>
          <w:rFonts w:ascii="Calibri" w:hAnsi="Calibri" w:cs="Calibri" w:eastAsia="Calibri"/>
          <w:spacing w:val="-9"/>
        </w:rPr>
        <w:t>5</w:t>
      </w:r>
      <w:r>
        <w:rPr>
          <w:spacing w:val="-9"/>
        </w:rPr>
        <w:t>．</w:t>
      </w:r>
      <w:hyperlink r:id="rId9">
        <w:r>
          <w:rPr>
            <w:spacing w:val="-9"/>
          </w:rPr>
          <w:t>《资产评估执业准则</w:t>
        </w:r>
        <w:r>
          <w:rPr>
            <w:rFonts w:ascii="Calibri" w:hAnsi="Calibri" w:cs="Calibri" w:eastAsia="Calibri"/>
            <w:spacing w:val="-9"/>
          </w:rPr>
          <w:t>—</w:t>
        </w:r>
        <w:r>
          <w:rPr>
            <w:spacing w:val="-9"/>
          </w:rPr>
          <w:t>资产评估委托合同》</w:t>
        </w:r>
      </w:hyperlink>
      <w:r>
        <w:rPr>
          <w:spacing w:val="-9"/>
        </w:rPr>
        <w:t>（中评协［</w:t>
      </w:r>
      <w:r>
        <w:rPr>
          <w:rFonts w:ascii="Calibri" w:hAnsi="Calibri" w:cs="Calibri" w:eastAsia="Calibri"/>
          <w:spacing w:val="-9"/>
        </w:rPr>
        <w:t>2017</w:t>
      </w:r>
      <w:r>
        <w:rPr>
          <w:spacing w:val="-9"/>
        </w:rPr>
        <w:t>］</w:t>
      </w:r>
      <w:r>
        <w:rPr>
          <w:rFonts w:ascii="Calibri" w:hAnsi="Calibri" w:cs="Calibri" w:eastAsia="Calibri"/>
          <w:spacing w:val="-9"/>
        </w:rPr>
        <w:t>33 </w:t>
      </w:r>
      <w:r>
        <w:rPr>
          <w:rFonts w:ascii="Calibri" w:hAnsi="Calibri" w:cs="Calibri" w:eastAsia="Calibri"/>
          <w:spacing w:val="6"/>
        </w:rPr>
        <w:t> </w:t>
      </w:r>
      <w:r>
        <w:rPr/>
        <w:t>号）</w:t>
      </w:r>
    </w:p>
    <w:p>
      <w:pPr>
        <w:pStyle w:val="BodyText"/>
        <w:spacing w:line="240" w:lineRule="auto" w:before="221"/>
        <w:ind w:left="677" w:right="114"/>
        <w:jc w:val="left"/>
      </w:pPr>
      <w:r>
        <w:rPr>
          <w:rFonts w:ascii="Calibri" w:hAnsi="Calibri" w:cs="Calibri" w:eastAsia="Calibri"/>
          <w:spacing w:val="-2"/>
        </w:rPr>
        <w:t>6</w:t>
      </w:r>
      <w:r>
        <w:rPr>
          <w:spacing w:val="-2"/>
        </w:rPr>
        <w:t>．</w:t>
      </w:r>
      <w:hyperlink r:id="rId9">
        <w:r>
          <w:rPr>
            <w:spacing w:val="-2"/>
          </w:rPr>
          <w:t>《资产评估执业准则</w:t>
        </w:r>
        <w:r>
          <w:rPr>
            <w:rFonts w:ascii="Calibri" w:hAnsi="Calibri" w:cs="Calibri" w:eastAsia="Calibri"/>
            <w:spacing w:val="-2"/>
          </w:rPr>
          <w:t>—</w:t>
        </w:r>
        <w:r>
          <w:rPr>
            <w:spacing w:val="-2"/>
          </w:rPr>
          <w:t>资产评估档案》</w:t>
        </w:r>
      </w:hyperlink>
      <w:r>
        <w:rPr>
          <w:spacing w:val="-2"/>
        </w:rPr>
        <w:t>（中评协［</w:t>
      </w:r>
      <w:r>
        <w:rPr>
          <w:rFonts w:ascii="Calibri" w:hAnsi="Calibri" w:cs="Calibri" w:eastAsia="Calibri"/>
          <w:spacing w:val="-2"/>
        </w:rPr>
        <w:t>2017</w:t>
      </w:r>
      <w:r>
        <w:rPr>
          <w:spacing w:val="-2"/>
        </w:rPr>
        <w:t>］</w:t>
      </w:r>
      <w:r>
        <w:rPr>
          <w:rFonts w:ascii="Calibri" w:hAnsi="Calibri" w:cs="Calibri" w:eastAsia="Calibri"/>
          <w:spacing w:val="-2"/>
        </w:rPr>
        <w:t>34</w:t>
      </w:r>
      <w:r>
        <w:rPr>
          <w:rFonts w:ascii="Calibri" w:hAnsi="Calibri" w:cs="Calibri" w:eastAsia="Calibri"/>
          <w:spacing w:val="51"/>
        </w:rPr>
        <w:t> </w:t>
      </w:r>
      <w:r>
        <w:rPr>
          <w:spacing w:val="-1"/>
        </w:rPr>
        <w:t>号）</w:t>
      </w:r>
    </w:p>
    <w:p>
      <w:pPr>
        <w:pStyle w:val="BodyText"/>
        <w:spacing w:line="240" w:lineRule="auto" w:before="221"/>
        <w:ind w:left="677" w:right="114"/>
        <w:jc w:val="left"/>
      </w:pPr>
      <w:r>
        <w:rPr>
          <w:rFonts w:ascii="Calibri" w:hAnsi="Calibri" w:cs="Calibri" w:eastAsia="Calibri"/>
        </w:rPr>
        <w:t>7</w:t>
      </w:r>
      <w:r>
        <w:rPr/>
        <w:t>．《资产评估机构业务质量控制指南》（中评协［</w:t>
      </w:r>
      <w:r>
        <w:rPr>
          <w:rFonts w:ascii="Calibri" w:hAnsi="Calibri" w:cs="Calibri" w:eastAsia="Calibri"/>
        </w:rPr>
        <w:t>2017</w:t>
      </w:r>
      <w:r>
        <w:rPr/>
        <w:t>］</w:t>
      </w:r>
      <w:r>
        <w:rPr>
          <w:rFonts w:ascii="Calibri" w:hAnsi="Calibri" w:cs="Calibri" w:eastAsia="Calibri"/>
        </w:rPr>
        <w:t>46</w:t>
      </w:r>
      <w:r>
        <w:rPr>
          <w:rFonts w:ascii="Calibri" w:hAnsi="Calibri" w:cs="Calibri" w:eastAsia="Calibri"/>
          <w:spacing w:val="-11"/>
        </w:rPr>
        <w:t> </w:t>
      </w:r>
      <w:r>
        <w:rPr/>
        <w:t>号）</w:t>
      </w:r>
    </w:p>
    <w:p>
      <w:pPr>
        <w:pStyle w:val="BodyText"/>
        <w:spacing w:line="240" w:lineRule="auto" w:before="221"/>
        <w:ind w:left="677" w:right="114"/>
        <w:jc w:val="left"/>
      </w:pPr>
      <w:r>
        <w:rPr>
          <w:rFonts w:ascii="Calibri" w:hAnsi="Calibri" w:cs="Calibri" w:eastAsia="Calibri"/>
        </w:rPr>
        <w:t>8</w:t>
      </w:r>
      <w:r>
        <w:rPr/>
        <w:t>．《资产评估价值类型指导意见》（中评协［</w:t>
      </w:r>
      <w:r>
        <w:rPr>
          <w:rFonts w:ascii="Calibri" w:hAnsi="Calibri" w:cs="Calibri" w:eastAsia="Calibri"/>
        </w:rPr>
        <w:t>2017</w:t>
      </w:r>
      <w:r>
        <w:rPr/>
        <w:t>］</w:t>
      </w:r>
      <w:r>
        <w:rPr>
          <w:rFonts w:ascii="Calibri" w:hAnsi="Calibri" w:cs="Calibri" w:eastAsia="Calibri"/>
        </w:rPr>
        <w:t>47</w:t>
      </w:r>
      <w:r>
        <w:rPr>
          <w:rFonts w:ascii="Calibri" w:hAnsi="Calibri" w:cs="Calibri" w:eastAsia="Calibri"/>
          <w:spacing w:val="-9"/>
        </w:rPr>
        <w:t> </w:t>
      </w:r>
      <w:r>
        <w:rPr/>
        <w:t>号）</w:t>
      </w:r>
    </w:p>
    <w:p>
      <w:pPr>
        <w:pStyle w:val="BodyText"/>
        <w:spacing w:line="240" w:lineRule="auto" w:before="221"/>
        <w:ind w:left="677" w:right="114"/>
        <w:jc w:val="left"/>
      </w:pPr>
      <w:r>
        <w:rPr>
          <w:rFonts w:ascii="Calibri" w:hAnsi="Calibri" w:cs="Calibri" w:eastAsia="Calibri"/>
        </w:rPr>
        <w:t>9</w:t>
      </w:r>
      <w:r>
        <w:rPr/>
        <w:t>．《资产评估对象法律权属指导意见》（中评协〔</w:t>
      </w:r>
      <w:r>
        <w:rPr>
          <w:rFonts w:ascii="Calibri" w:hAnsi="Calibri" w:cs="Calibri" w:eastAsia="Calibri"/>
        </w:rPr>
        <w:t>2017</w:t>
      </w:r>
      <w:r>
        <w:rPr/>
        <w:t>〕</w:t>
      </w:r>
      <w:r>
        <w:rPr>
          <w:rFonts w:ascii="Calibri" w:hAnsi="Calibri" w:cs="Calibri" w:eastAsia="Calibri"/>
        </w:rPr>
        <w:t>48</w:t>
      </w:r>
      <w:r>
        <w:rPr>
          <w:rFonts w:ascii="Calibri" w:hAnsi="Calibri" w:cs="Calibri" w:eastAsia="Calibri"/>
          <w:spacing w:val="-11"/>
        </w:rPr>
        <w:t> </w:t>
      </w:r>
      <w:r>
        <w:rPr/>
        <w:t>号）</w:t>
      </w:r>
    </w:p>
    <w:p>
      <w:pPr>
        <w:pStyle w:val="BodyText"/>
        <w:spacing w:line="240" w:lineRule="auto" w:before="221"/>
        <w:ind w:left="677" w:right="114"/>
        <w:jc w:val="left"/>
      </w:pPr>
      <w:r>
        <w:rPr>
          <w:rFonts w:ascii="Calibri" w:hAnsi="Calibri" w:cs="Calibri" w:eastAsia="Calibri"/>
          <w:spacing w:val="-10"/>
        </w:rPr>
        <w:t>10</w:t>
      </w:r>
      <w:r>
        <w:rPr>
          <w:spacing w:val="-10"/>
        </w:rPr>
        <w:t>．</w:t>
      </w:r>
      <w:hyperlink r:id="rId9">
        <w:r>
          <w:rPr>
            <w:spacing w:val="-10"/>
          </w:rPr>
          <w:t>《资产评估执业准则</w:t>
        </w:r>
        <w:r>
          <w:rPr>
            <w:rFonts w:ascii="Calibri" w:hAnsi="Calibri" w:cs="Calibri" w:eastAsia="Calibri"/>
            <w:spacing w:val="-10"/>
          </w:rPr>
          <w:t>—</w:t>
        </w:r>
        <w:r>
          <w:rPr>
            <w:spacing w:val="-10"/>
          </w:rPr>
          <w:t>利用专家工作及相关报告》</w:t>
        </w:r>
      </w:hyperlink>
      <w:r>
        <w:rPr>
          <w:spacing w:val="-10"/>
        </w:rPr>
        <w:t>（中评协［</w:t>
      </w:r>
      <w:r>
        <w:rPr>
          <w:rFonts w:ascii="Calibri" w:hAnsi="Calibri" w:cs="Calibri" w:eastAsia="Calibri"/>
          <w:spacing w:val="-10"/>
        </w:rPr>
        <w:t>2017</w:t>
      </w:r>
      <w:r>
        <w:rPr>
          <w:spacing w:val="-10"/>
        </w:rPr>
        <w:t>］</w:t>
      </w:r>
    </w:p>
    <w:p>
      <w:pPr>
        <w:pStyle w:val="BodyText"/>
        <w:spacing w:line="240" w:lineRule="auto" w:before="221"/>
        <w:ind w:right="114"/>
        <w:jc w:val="left"/>
      </w:pPr>
      <w:r>
        <w:rPr>
          <w:rFonts w:ascii="Calibri" w:hAnsi="Calibri" w:cs="Calibri" w:eastAsia="Calibri"/>
        </w:rPr>
        <w:t>35</w:t>
      </w:r>
      <w:r>
        <w:rPr>
          <w:rFonts w:ascii="Calibri" w:hAnsi="Calibri" w:cs="Calibri" w:eastAsia="Calibri"/>
          <w:spacing w:val="5"/>
        </w:rPr>
        <w:t> </w:t>
      </w:r>
      <w:r>
        <w:rPr/>
        <w:t>号）</w:t>
      </w:r>
    </w:p>
    <w:p>
      <w:pPr>
        <w:pStyle w:val="BodyText"/>
        <w:spacing w:line="240" w:lineRule="auto" w:before="221"/>
        <w:ind w:left="677" w:right="114"/>
        <w:jc w:val="left"/>
      </w:pPr>
      <w:r>
        <w:rPr>
          <w:rFonts w:ascii="Calibri" w:hAnsi="Calibri" w:cs="Calibri" w:eastAsia="Calibri"/>
        </w:rPr>
        <w:t>11</w:t>
      </w:r>
      <w:r>
        <w:rPr/>
        <w:t>．</w:t>
      </w:r>
      <w:hyperlink r:id="rId9">
        <w:r>
          <w:rPr/>
          <w:t>《资产评估执业准则</w:t>
        </w:r>
        <w:r>
          <w:rPr>
            <w:rFonts w:ascii="Calibri" w:hAnsi="Calibri" w:cs="Calibri" w:eastAsia="Calibri"/>
          </w:rPr>
          <w:t>—</w:t>
        </w:r>
        <w:r>
          <w:rPr/>
          <w:t>企业价值》</w:t>
        </w:r>
      </w:hyperlink>
      <w:r>
        <w:rPr/>
        <w:t>（中评协［</w:t>
      </w:r>
      <w:r>
        <w:rPr>
          <w:rFonts w:ascii="Calibri" w:hAnsi="Calibri" w:cs="Calibri" w:eastAsia="Calibri"/>
        </w:rPr>
        <w:t>2017</w:t>
      </w:r>
      <w:r>
        <w:rPr/>
        <w:t>］</w:t>
      </w:r>
      <w:r>
        <w:rPr>
          <w:rFonts w:ascii="Calibri" w:hAnsi="Calibri" w:cs="Calibri" w:eastAsia="Calibri"/>
        </w:rPr>
        <w:t>36</w:t>
      </w:r>
      <w:r>
        <w:rPr>
          <w:rFonts w:ascii="Calibri" w:hAnsi="Calibri" w:cs="Calibri" w:eastAsia="Calibri"/>
          <w:spacing w:val="-12"/>
        </w:rPr>
        <w:t> </w:t>
      </w:r>
      <w:r>
        <w:rPr/>
        <w:t>号）</w:t>
      </w:r>
    </w:p>
    <w:p>
      <w:pPr>
        <w:spacing w:after="0" w:line="240" w:lineRule="auto"/>
        <w:jc w:val="left"/>
        <w:sectPr>
          <w:pgSz w:w="11910" w:h="16840"/>
          <w:pgMar w:header="878" w:footer="1196" w:top="1100" w:bottom="1380" w:left="1300" w:right="1160"/>
        </w:sectPr>
      </w:pPr>
    </w:p>
    <w:p>
      <w:pPr>
        <w:spacing w:line="240" w:lineRule="auto" w:before="0"/>
        <w:rPr>
          <w:rFonts w:ascii="仿宋" w:hAnsi="仿宋" w:cs="仿宋" w:eastAsia="仿宋"/>
          <w:sz w:val="20"/>
          <w:szCs w:val="20"/>
        </w:rPr>
      </w:pPr>
    </w:p>
    <w:p>
      <w:pPr>
        <w:pStyle w:val="BodyText"/>
        <w:spacing w:line="240" w:lineRule="auto" w:before="146"/>
        <w:ind w:left="677" w:right="0"/>
        <w:jc w:val="left"/>
      </w:pPr>
      <w:r>
        <w:rPr>
          <w:rFonts w:ascii="Calibri" w:hAnsi="Calibri" w:cs="Calibri" w:eastAsia="Calibri"/>
        </w:rPr>
        <w:t>12</w:t>
      </w:r>
      <w:r>
        <w:rPr/>
        <w:t>．</w:t>
      </w:r>
      <w:hyperlink r:id="rId9">
        <w:r>
          <w:rPr/>
          <w:t>《资产评估执业准则</w:t>
        </w:r>
        <w:r>
          <w:rPr>
            <w:rFonts w:ascii="Calibri" w:hAnsi="Calibri" w:cs="Calibri" w:eastAsia="Calibri"/>
          </w:rPr>
          <w:t>—</w:t>
        </w:r>
        <w:r>
          <w:rPr/>
          <w:t>无形资产》</w:t>
        </w:r>
      </w:hyperlink>
      <w:r>
        <w:rPr/>
        <w:t>（中评协［</w:t>
      </w:r>
      <w:r>
        <w:rPr>
          <w:rFonts w:ascii="Calibri" w:hAnsi="Calibri" w:cs="Calibri" w:eastAsia="Calibri"/>
        </w:rPr>
        <w:t>2017</w:t>
      </w:r>
      <w:r>
        <w:rPr/>
        <w:t>］</w:t>
      </w:r>
      <w:r>
        <w:rPr>
          <w:rFonts w:ascii="Calibri" w:hAnsi="Calibri" w:cs="Calibri" w:eastAsia="Calibri"/>
        </w:rPr>
        <w:t>37</w:t>
      </w:r>
      <w:r>
        <w:rPr>
          <w:rFonts w:ascii="Calibri" w:hAnsi="Calibri" w:cs="Calibri" w:eastAsia="Calibri"/>
          <w:spacing w:val="-12"/>
        </w:rPr>
        <w:t> </w:t>
      </w:r>
      <w:r>
        <w:rPr/>
        <w:t>号）</w:t>
      </w:r>
    </w:p>
    <w:p>
      <w:pPr>
        <w:pStyle w:val="BodyText"/>
        <w:spacing w:line="240" w:lineRule="auto" w:before="221"/>
        <w:ind w:left="677" w:right="0"/>
        <w:jc w:val="left"/>
      </w:pPr>
      <w:r>
        <w:rPr>
          <w:rFonts w:ascii="Calibri" w:hAnsi="Calibri" w:cs="Calibri" w:eastAsia="Calibri"/>
        </w:rPr>
        <w:t>13</w:t>
      </w:r>
      <w:r>
        <w:rPr/>
        <w:t>．</w:t>
      </w:r>
      <w:hyperlink r:id="rId9">
        <w:r>
          <w:rPr/>
          <w:t>《资产评估执业准则</w:t>
        </w:r>
        <w:r>
          <w:rPr>
            <w:rFonts w:ascii="Calibri" w:hAnsi="Calibri" w:cs="Calibri" w:eastAsia="Calibri"/>
          </w:rPr>
          <w:t>—</w:t>
        </w:r>
        <w:r>
          <w:rPr/>
          <w:t>不动产》</w:t>
        </w:r>
      </w:hyperlink>
      <w:r>
        <w:rPr/>
        <w:t>（中评协［</w:t>
      </w:r>
      <w:r>
        <w:rPr>
          <w:rFonts w:ascii="Calibri" w:hAnsi="Calibri" w:cs="Calibri" w:eastAsia="Calibri"/>
        </w:rPr>
        <w:t>2017</w:t>
      </w:r>
      <w:r>
        <w:rPr/>
        <w:t>］</w:t>
      </w:r>
      <w:r>
        <w:rPr>
          <w:rFonts w:ascii="Calibri" w:hAnsi="Calibri" w:cs="Calibri" w:eastAsia="Calibri"/>
        </w:rPr>
        <w:t>38</w:t>
      </w:r>
      <w:r>
        <w:rPr>
          <w:rFonts w:ascii="Calibri" w:hAnsi="Calibri" w:cs="Calibri" w:eastAsia="Calibri"/>
          <w:spacing w:val="-10"/>
        </w:rPr>
        <w:t> </w:t>
      </w:r>
      <w:r>
        <w:rPr/>
        <w:t>号）</w:t>
      </w:r>
    </w:p>
    <w:p>
      <w:pPr>
        <w:pStyle w:val="BodyText"/>
        <w:spacing w:line="240" w:lineRule="auto" w:before="221"/>
        <w:ind w:left="677" w:right="0"/>
        <w:jc w:val="left"/>
      </w:pPr>
      <w:r>
        <w:rPr>
          <w:rFonts w:ascii="Calibri" w:hAnsi="Calibri" w:cs="Calibri" w:eastAsia="Calibri"/>
        </w:rPr>
        <w:t>14</w:t>
      </w:r>
      <w:r>
        <w:rPr/>
        <w:t>．</w:t>
      </w:r>
      <w:hyperlink r:id="rId9">
        <w:r>
          <w:rPr/>
          <w:t>《资产评估执业准则</w:t>
        </w:r>
        <w:r>
          <w:rPr>
            <w:rFonts w:ascii="Calibri" w:hAnsi="Calibri" w:cs="Calibri" w:eastAsia="Calibri"/>
          </w:rPr>
          <w:t>—</w:t>
        </w:r>
        <w:r>
          <w:rPr/>
          <w:t>机器设备》</w:t>
        </w:r>
      </w:hyperlink>
      <w:r>
        <w:rPr/>
        <w:t>（中评协［</w:t>
      </w:r>
      <w:r>
        <w:rPr>
          <w:rFonts w:ascii="Calibri" w:hAnsi="Calibri" w:cs="Calibri" w:eastAsia="Calibri"/>
        </w:rPr>
        <w:t>2017</w:t>
      </w:r>
      <w:r>
        <w:rPr/>
        <w:t>］</w:t>
      </w:r>
      <w:r>
        <w:rPr>
          <w:rFonts w:ascii="Calibri" w:hAnsi="Calibri" w:cs="Calibri" w:eastAsia="Calibri"/>
        </w:rPr>
        <w:t>39</w:t>
      </w:r>
      <w:r>
        <w:rPr>
          <w:rFonts w:ascii="Calibri" w:hAnsi="Calibri" w:cs="Calibri" w:eastAsia="Calibri"/>
          <w:spacing w:val="-12"/>
        </w:rPr>
        <w:t> </w:t>
      </w:r>
      <w:r>
        <w:rPr/>
        <w:t>号）</w:t>
      </w:r>
    </w:p>
    <w:p>
      <w:pPr>
        <w:pStyle w:val="BodyText"/>
        <w:spacing w:line="240" w:lineRule="auto" w:before="221"/>
        <w:ind w:left="677" w:right="0"/>
        <w:jc w:val="left"/>
      </w:pPr>
      <w:r>
        <w:rPr>
          <w:rFonts w:ascii="Calibri" w:hAnsi="Calibri" w:cs="Calibri" w:eastAsia="Calibri"/>
        </w:rPr>
        <w:t>15</w:t>
      </w:r>
      <w:r>
        <w:rPr/>
        <w:t>．《企业国有资产评估报告指南》（中评协［</w:t>
      </w:r>
      <w:r>
        <w:rPr>
          <w:rFonts w:ascii="Calibri" w:hAnsi="Calibri" w:cs="Calibri" w:eastAsia="Calibri"/>
        </w:rPr>
        <w:t>2017</w:t>
      </w:r>
      <w:r>
        <w:rPr/>
        <w:t>］</w:t>
      </w:r>
      <w:r>
        <w:rPr>
          <w:rFonts w:ascii="Calibri" w:hAnsi="Calibri" w:cs="Calibri" w:eastAsia="Calibri"/>
        </w:rPr>
        <w:t>42</w:t>
      </w:r>
      <w:r>
        <w:rPr>
          <w:rFonts w:ascii="Calibri" w:hAnsi="Calibri" w:cs="Calibri" w:eastAsia="Calibri"/>
          <w:spacing w:val="-10"/>
        </w:rPr>
        <w:t> </w:t>
      </w:r>
      <w:r>
        <w:rPr/>
        <w:t>号）</w:t>
      </w:r>
    </w:p>
    <w:p>
      <w:pPr>
        <w:spacing w:line="408" w:lineRule="auto" w:before="221"/>
        <w:ind w:left="694" w:right="0" w:hanging="156"/>
        <w:jc w:val="left"/>
        <w:rPr>
          <w:rFonts w:ascii="仿宋" w:hAnsi="仿宋" w:cs="仿宋" w:eastAsia="仿宋"/>
          <w:sz w:val="28"/>
          <w:szCs w:val="28"/>
        </w:rPr>
      </w:pPr>
      <w:r>
        <w:rPr>
          <w:rFonts w:ascii="仿宋" w:hAnsi="仿宋" w:cs="仿宋" w:eastAsia="仿宋"/>
          <w:b/>
          <w:bCs/>
          <w:spacing w:val="6"/>
          <w:sz w:val="28"/>
          <w:szCs w:val="28"/>
        </w:rPr>
        <w:t>（三）经济行为依据</w:t>
      </w:r>
      <w:r>
        <w:rPr>
          <w:rFonts w:ascii="仿宋" w:hAnsi="仿宋" w:cs="仿宋" w:eastAsia="仿宋"/>
          <w:b/>
          <w:bCs/>
          <w:spacing w:val="-135"/>
          <w:sz w:val="28"/>
          <w:szCs w:val="28"/>
        </w:rPr>
        <w:t> </w:t>
      </w:r>
      <w:r>
        <w:rPr>
          <w:rFonts w:ascii="仿宋" w:hAnsi="仿宋" w:cs="仿宋" w:eastAsia="仿宋"/>
          <w:b/>
          <w:bCs/>
          <w:spacing w:val="-135"/>
          <w:sz w:val="28"/>
          <w:szCs w:val="28"/>
        </w:rPr>
      </w:r>
      <w:r>
        <w:rPr>
          <w:rFonts w:ascii="仿宋" w:hAnsi="仿宋" w:cs="仿宋" w:eastAsia="仿宋"/>
          <w:spacing w:val="5"/>
          <w:sz w:val="28"/>
          <w:szCs w:val="28"/>
        </w:rPr>
        <w:t>委托方与本评估机构签订的《评估业务约定书》。</w:t>
      </w:r>
    </w:p>
    <w:p>
      <w:pPr>
        <w:pStyle w:val="Heading3"/>
        <w:spacing w:line="296" w:lineRule="exact"/>
        <w:ind w:left="677" w:right="0" w:hanging="272"/>
        <w:jc w:val="left"/>
        <w:rPr>
          <w:b w:val="0"/>
          <w:bCs w:val="0"/>
        </w:rPr>
      </w:pPr>
      <w:r>
        <w:rPr>
          <w:spacing w:val="6"/>
        </w:rPr>
        <w:t>（四）产权依据</w:t>
      </w:r>
      <w:r>
        <w:rPr>
          <w:b w:val="0"/>
          <w:bCs w:val="0"/>
          <w:spacing w:val="6"/>
        </w:rPr>
      </w:r>
    </w:p>
    <w:p>
      <w:pPr>
        <w:spacing w:line="240" w:lineRule="auto" w:before="7"/>
        <w:rPr>
          <w:rFonts w:ascii="仿宋" w:hAnsi="仿宋" w:cs="仿宋" w:eastAsia="仿宋"/>
          <w:b/>
          <w:bCs/>
          <w:sz w:val="23"/>
          <w:szCs w:val="23"/>
        </w:rPr>
      </w:pPr>
    </w:p>
    <w:p>
      <w:pPr>
        <w:pStyle w:val="BodyText"/>
        <w:spacing w:line="240" w:lineRule="auto" w:before="0"/>
        <w:ind w:left="677" w:right="0"/>
        <w:jc w:val="left"/>
      </w:pPr>
      <w:r>
        <w:rPr>
          <w:rFonts w:ascii="Calibri" w:hAnsi="Calibri" w:cs="Calibri" w:eastAsia="Calibri"/>
        </w:rPr>
        <w:t>1</w:t>
      </w:r>
      <w:r>
        <w:rPr/>
        <w:t>．江苏省沿海开发集团有限公司提供的资产评估申报明细表；</w:t>
      </w:r>
    </w:p>
    <w:p>
      <w:pPr>
        <w:pStyle w:val="BodyText"/>
        <w:spacing w:line="240" w:lineRule="auto" w:before="221"/>
        <w:ind w:left="677" w:right="0"/>
        <w:jc w:val="left"/>
      </w:pPr>
      <w:r>
        <w:rPr>
          <w:rFonts w:ascii="Calibri" w:hAnsi="Calibri" w:cs="Calibri" w:eastAsia="Calibri"/>
        </w:rPr>
        <w:t>2</w:t>
      </w:r>
      <w:r>
        <w:rPr/>
        <w:t>．江苏省沿海开发集团有限公司提供的委托鉴定表</w:t>
      </w:r>
    </w:p>
    <w:p>
      <w:pPr>
        <w:pStyle w:val="BodyText"/>
        <w:spacing w:line="240" w:lineRule="auto" w:before="221"/>
        <w:ind w:left="677" w:right="0"/>
        <w:jc w:val="left"/>
      </w:pPr>
      <w:r>
        <w:rPr>
          <w:rFonts w:ascii="Calibri" w:hAnsi="Calibri" w:cs="Calibri" w:eastAsia="Calibri"/>
        </w:rPr>
        <w:t>3</w:t>
      </w:r>
      <w:r>
        <w:rPr/>
        <w:t>．江苏省沿海开发集团有限公司房屋权属资料；</w:t>
      </w:r>
    </w:p>
    <w:p>
      <w:pPr>
        <w:pStyle w:val="BodyText"/>
        <w:spacing w:line="240" w:lineRule="auto" w:before="221"/>
        <w:ind w:left="677" w:right="0"/>
        <w:jc w:val="left"/>
      </w:pPr>
      <w:r>
        <w:rPr>
          <w:rFonts w:ascii="Calibri" w:hAnsi="Calibri" w:cs="Calibri" w:eastAsia="Calibri"/>
        </w:rPr>
        <w:t>4</w:t>
      </w:r>
      <w:r>
        <w:rPr/>
        <w:t>．江苏省沿海开发集团有限公司机器设备明细表；</w:t>
      </w:r>
    </w:p>
    <w:p>
      <w:pPr>
        <w:pStyle w:val="BodyText"/>
        <w:spacing w:line="240" w:lineRule="auto" w:before="221"/>
        <w:ind w:left="677" w:right="0"/>
        <w:jc w:val="left"/>
      </w:pPr>
      <w:r>
        <w:rPr>
          <w:rFonts w:ascii="Calibri" w:hAnsi="Calibri" w:cs="Calibri" w:eastAsia="Calibri"/>
        </w:rPr>
        <w:t>5</w:t>
      </w:r>
      <w:r>
        <w:rPr/>
        <w:t>．其他有关产权证明。</w:t>
      </w:r>
    </w:p>
    <w:p>
      <w:pPr>
        <w:pStyle w:val="Heading3"/>
        <w:spacing w:line="240" w:lineRule="auto" w:before="221"/>
        <w:ind w:right="0"/>
        <w:jc w:val="left"/>
        <w:rPr>
          <w:b w:val="0"/>
          <w:bCs w:val="0"/>
        </w:rPr>
      </w:pPr>
      <w:r>
        <w:rPr>
          <w:spacing w:val="6"/>
        </w:rPr>
        <w:t>（四）取价依据</w:t>
      </w:r>
      <w:r>
        <w:rPr>
          <w:b w:val="0"/>
          <w:bCs w:val="0"/>
          <w:spacing w:val="6"/>
        </w:rPr>
      </w:r>
    </w:p>
    <w:p>
      <w:pPr>
        <w:spacing w:line="240" w:lineRule="auto" w:before="9"/>
        <w:rPr>
          <w:rFonts w:ascii="仿宋" w:hAnsi="仿宋" w:cs="仿宋" w:eastAsia="仿宋"/>
          <w:b/>
          <w:bCs/>
          <w:sz w:val="19"/>
          <w:szCs w:val="19"/>
        </w:rPr>
      </w:pPr>
    </w:p>
    <w:p>
      <w:pPr>
        <w:pStyle w:val="BodyText"/>
        <w:spacing w:line="240" w:lineRule="auto" w:before="0"/>
        <w:ind w:left="677" w:right="0"/>
        <w:jc w:val="left"/>
      </w:pPr>
      <w:r>
        <w:rPr>
          <w:rFonts w:ascii="Calibri" w:hAnsi="Calibri" w:cs="Calibri" w:eastAsia="Calibri"/>
        </w:rPr>
        <w:t>1</w:t>
      </w:r>
      <w:r>
        <w:rPr/>
        <w:t>．资产评估常用数据及参考手册；</w:t>
      </w:r>
    </w:p>
    <w:p>
      <w:pPr>
        <w:pStyle w:val="BodyText"/>
        <w:spacing w:line="240" w:lineRule="auto" w:before="221"/>
        <w:ind w:left="677" w:right="0"/>
        <w:jc w:val="left"/>
      </w:pPr>
      <w:r>
        <w:rPr>
          <w:rFonts w:ascii="Calibri" w:hAnsi="Calibri" w:cs="Calibri" w:eastAsia="Calibri"/>
        </w:rPr>
        <w:t>2</w:t>
      </w:r>
      <w:r>
        <w:rPr/>
        <w:t>．《</w:t>
      </w:r>
      <w:r>
        <w:rPr>
          <w:rFonts w:ascii="Calibri" w:hAnsi="Calibri" w:cs="Calibri" w:eastAsia="Calibri"/>
        </w:rPr>
        <w:t>UDC </w:t>
      </w:r>
      <w:r>
        <w:rPr/>
        <w:t>联合商情》；</w:t>
      </w:r>
    </w:p>
    <w:p>
      <w:pPr>
        <w:pStyle w:val="BodyText"/>
        <w:spacing w:line="240" w:lineRule="auto" w:before="221"/>
        <w:ind w:left="677" w:right="0"/>
        <w:jc w:val="left"/>
      </w:pPr>
      <w:r>
        <w:rPr>
          <w:rFonts w:ascii="Calibri" w:hAnsi="Calibri" w:cs="Calibri" w:eastAsia="Calibri"/>
        </w:rPr>
        <w:t>3</w:t>
      </w:r>
      <w:r>
        <w:rPr/>
        <w:t>．《黑马信息广告》；</w:t>
      </w:r>
    </w:p>
    <w:p>
      <w:pPr>
        <w:pStyle w:val="BodyText"/>
        <w:spacing w:line="240" w:lineRule="auto" w:before="221"/>
        <w:ind w:left="677" w:right="0"/>
        <w:jc w:val="left"/>
      </w:pPr>
      <w:r>
        <w:rPr>
          <w:rFonts w:ascii="Calibri" w:hAnsi="Calibri" w:cs="Calibri" w:eastAsia="Calibri"/>
        </w:rPr>
        <w:t>4</w:t>
      </w:r>
      <w:r>
        <w:rPr/>
        <w:t>．估价人员现场实地查看、搜集和记录、整理的相关资料；</w:t>
      </w:r>
    </w:p>
    <w:p>
      <w:pPr>
        <w:pStyle w:val="BodyText"/>
        <w:spacing w:line="372" w:lineRule="auto" w:before="221"/>
        <w:ind w:right="0" w:firstLine="559"/>
        <w:jc w:val="left"/>
      </w:pPr>
      <w:r>
        <w:rPr>
          <w:rFonts w:ascii="Calibri" w:hAnsi="Calibri" w:cs="Calibri" w:eastAsia="Calibri"/>
          <w:b/>
          <w:bCs/>
          <w:spacing w:val="-2"/>
        </w:rPr>
        <w:t>5</w:t>
      </w:r>
      <w:r>
        <w:rPr>
          <w:rFonts w:ascii="仿宋" w:hAnsi="仿宋" w:cs="仿宋" w:eastAsia="仿宋"/>
          <w:b/>
          <w:bCs/>
          <w:spacing w:val="-2"/>
        </w:rPr>
        <w:t>．</w:t>
      </w:r>
      <w:r>
        <w:rPr>
          <w:spacing w:val="-2"/>
        </w:rPr>
        <w:t>本评估机构评估专业人员通过市场调查以及查阅相关书刊资料和</w:t>
      </w:r>
      <w:r>
        <w:rPr>
          <w:w w:val="100"/>
        </w:rPr>
        <w:t> </w:t>
      </w:r>
      <w:r>
        <w:rPr/>
        <w:t>网站等途径获取的相关评估依据等。</w:t>
      </w:r>
    </w:p>
    <w:p>
      <w:pPr>
        <w:pStyle w:val="BodyText"/>
        <w:spacing w:line="240" w:lineRule="auto" w:before="103"/>
        <w:ind w:left="677" w:right="0"/>
        <w:jc w:val="left"/>
      </w:pPr>
      <w:r>
        <w:rPr>
          <w:rFonts w:ascii="Calibri" w:hAnsi="Calibri" w:cs="Calibri" w:eastAsia="Calibri"/>
        </w:rPr>
        <w:t>6</w:t>
      </w:r>
      <w:r>
        <w:rPr/>
        <w:t>．《中国机电产品报价手册》</w:t>
      </w:r>
    </w:p>
    <w:p>
      <w:pPr>
        <w:pStyle w:val="BodyText"/>
        <w:spacing w:line="240" w:lineRule="auto" w:before="221"/>
        <w:ind w:left="677" w:right="0"/>
        <w:jc w:val="left"/>
      </w:pPr>
      <w:r>
        <w:rPr>
          <w:rFonts w:ascii="Calibri" w:hAnsi="Calibri" w:cs="Calibri" w:eastAsia="Calibri"/>
        </w:rPr>
        <w:t>7</w:t>
      </w:r>
      <w:r>
        <w:rPr/>
        <w:t>．《中华人民共和国海关进出口税则》；</w:t>
      </w:r>
    </w:p>
    <w:p>
      <w:pPr>
        <w:pStyle w:val="BodyText"/>
        <w:spacing w:line="240" w:lineRule="auto" w:before="221"/>
        <w:ind w:left="677" w:right="0"/>
        <w:jc w:val="left"/>
      </w:pPr>
      <w:r>
        <w:rPr>
          <w:rFonts w:ascii="Calibri" w:hAnsi="Calibri" w:cs="Calibri" w:eastAsia="Calibri"/>
        </w:rPr>
        <w:t>8</w:t>
      </w:r>
      <w:r>
        <w:rPr/>
        <w:t>．《全国机床产品供货目录》；</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240" w:lineRule="auto" w:before="146"/>
        <w:ind w:left="677" w:right="114"/>
        <w:jc w:val="left"/>
      </w:pPr>
      <w:r>
        <w:rPr>
          <w:rFonts w:ascii="Calibri" w:hAnsi="Calibri" w:cs="Calibri" w:eastAsia="Calibri"/>
        </w:rPr>
        <w:t>9</w:t>
      </w:r>
      <w:r>
        <w:rPr/>
        <w:t>．《全国固定资产价值重（评）估系数标准目录》；</w:t>
      </w:r>
    </w:p>
    <w:p>
      <w:pPr>
        <w:pStyle w:val="BodyText"/>
        <w:spacing w:line="372" w:lineRule="auto" w:before="221"/>
        <w:ind w:right="114" w:firstLine="559"/>
        <w:jc w:val="left"/>
      </w:pPr>
      <w:r>
        <w:rPr>
          <w:rFonts w:ascii="Calibri" w:hAnsi="Calibri" w:cs="Calibri" w:eastAsia="Calibri"/>
          <w:spacing w:val="-2"/>
        </w:rPr>
        <w:t>10</w:t>
      </w:r>
      <w:r>
        <w:rPr>
          <w:spacing w:val="-2"/>
        </w:rPr>
        <w:t>．江苏省沿海开发集团有限公司提供的设备运行记录以及重大设备</w:t>
      </w:r>
      <w:r>
        <w:rPr>
          <w:w w:val="100"/>
        </w:rPr>
        <w:t> </w:t>
      </w:r>
      <w:r>
        <w:rPr/>
        <w:t>的购建合同和报关单；</w:t>
      </w:r>
    </w:p>
    <w:p>
      <w:pPr>
        <w:pStyle w:val="BodyText"/>
        <w:spacing w:line="372" w:lineRule="auto" w:before="103"/>
        <w:ind w:right="114" w:firstLine="559"/>
        <w:jc w:val="left"/>
      </w:pPr>
      <w:r>
        <w:rPr>
          <w:rFonts w:ascii="Calibri" w:hAnsi="Calibri" w:cs="Calibri" w:eastAsia="Calibri"/>
          <w:spacing w:val="-2"/>
        </w:rPr>
        <w:t>11</w:t>
      </w:r>
      <w:r>
        <w:rPr>
          <w:spacing w:val="-2"/>
        </w:rPr>
        <w:t>．江苏省沿海开发集团有限公司提供的设备大修理、改造记录及设</w:t>
      </w:r>
      <w:r>
        <w:rPr>
          <w:w w:val="100"/>
        </w:rPr>
        <w:t> </w:t>
      </w:r>
      <w:r>
        <w:rPr/>
        <w:t>备安检记录；</w:t>
      </w:r>
    </w:p>
    <w:p>
      <w:pPr>
        <w:pStyle w:val="BodyText"/>
        <w:spacing w:line="240" w:lineRule="auto" w:before="103"/>
        <w:ind w:left="677" w:right="114"/>
        <w:jc w:val="left"/>
      </w:pPr>
      <w:r>
        <w:rPr>
          <w:rFonts w:ascii="Calibri" w:hAnsi="Calibri" w:cs="Calibri" w:eastAsia="Calibri"/>
          <w:spacing w:val="-11"/>
        </w:rPr>
        <w:t>12</w:t>
      </w:r>
      <w:r>
        <w:rPr>
          <w:spacing w:val="-11"/>
        </w:rPr>
        <w:t>．国务院［</w:t>
      </w:r>
      <w:r>
        <w:rPr>
          <w:rFonts w:ascii="Calibri" w:hAnsi="Calibri" w:cs="Calibri" w:eastAsia="Calibri"/>
          <w:spacing w:val="-11"/>
        </w:rPr>
        <w:t>2000</w:t>
      </w:r>
      <w:r>
        <w:rPr>
          <w:spacing w:val="-11"/>
        </w:rPr>
        <w:t>］第 </w:t>
      </w:r>
      <w:r>
        <w:rPr>
          <w:rFonts w:ascii="Calibri" w:hAnsi="Calibri" w:cs="Calibri" w:eastAsia="Calibri"/>
        </w:rPr>
        <w:t>294</w:t>
      </w:r>
      <w:r>
        <w:rPr>
          <w:rFonts w:ascii="Calibri" w:hAnsi="Calibri" w:cs="Calibri" w:eastAsia="Calibri"/>
          <w:spacing w:val="-13"/>
        </w:rPr>
        <w:t> </w:t>
      </w:r>
      <w:r>
        <w:rPr>
          <w:spacing w:val="-12"/>
        </w:rPr>
        <w:t>号《中华人民共和国车辆购置税暂行条例》；</w:t>
      </w:r>
    </w:p>
    <w:p>
      <w:pPr>
        <w:pStyle w:val="BodyText"/>
        <w:spacing w:line="372" w:lineRule="auto" w:before="221"/>
        <w:ind w:right="114" w:firstLine="559"/>
        <w:jc w:val="left"/>
      </w:pPr>
      <w:r>
        <w:rPr>
          <w:rFonts w:ascii="Calibri" w:hAnsi="Calibri" w:cs="Calibri" w:eastAsia="Calibri"/>
        </w:rPr>
        <w:t>13</w:t>
      </w:r>
      <w:r>
        <w:rPr/>
        <w:t>．商务部、发改委、公安部、环境保护部令</w:t>
      </w:r>
      <w:r>
        <w:rPr>
          <w:spacing w:val="-75"/>
        </w:rPr>
        <w:t> </w:t>
      </w:r>
      <w:r>
        <w:rPr>
          <w:rFonts w:ascii="Calibri" w:hAnsi="Calibri" w:cs="Calibri" w:eastAsia="Calibri"/>
        </w:rPr>
        <w:t>2012</w:t>
      </w:r>
      <w:r>
        <w:rPr>
          <w:rFonts w:ascii="Calibri" w:hAnsi="Calibri" w:cs="Calibri" w:eastAsia="Calibri"/>
          <w:spacing w:val="2"/>
        </w:rPr>
        <w:t> </w:t>
      </w:r>
      <w:r>
        <w:rPr/>
        <w:t>年第</w:t>
      </w:r>
      <w:r>
        <w:rPr>
          <w:spacing w:val="-75"/>
        </w:rPr>
        <w:t> </w:t>
      </w:r>
      <w:r>
        <w:rPr>
          <w:rFonts w:ascii="Calibri" w:hAnsi="Calibri" w:cs="Calibri" w:eastAsia="Calibri"/>
        </w:rPr>
        <w:t>12</w:t>
      </w:r>
      <w:r>
        <w:rPr>
          <w:rFonts w:ascii="Calibri" w:hAnsi="Calibri" w:cs="Calibri" w:eastAsia="Calibri"/>
          <w:spacing w:val="2"/>
        </w:rPr>
        <w:t> </w:t>
      </w:r>
      <w:r>
        <w:rPr/>
        <w:t>号《机动</w:t>
      </w:r>
      <w:r>
        <w:rPr>
          <w:w w:val="100"/>
        </w:rPr>
        <w:t> </w:t>
      </w:r>
      <w:r>
        <w:rPr/>
        <w:t>车强制报废标准规定》</w:t>
      </w:r>
    </w:p>
    <w:p>
      <w:pPr>
        <w:pStyle w:val="BodyText"/>
        <w:spacing w:line="240" w:lineRule="auto" w:before="103"/>
        <w:ind w:left="677" w:right="114"/>
        <w:jc w:val="left"/>
      </w:pPr>
      <w:r>
        <w:rPr>
          <w:rFonts w:ascii="Calibri" w:hAnsi="Calibri" w:cs="Calibri" w:eastAsia="Calibri"/>
        </w:rPr>
        <w:t>14</w:t>
      </w:r>
      <w:r>
        <w:rPr/>
        <w:t>．《房地产估价规范》（</w:t>
      </w:r>
      <w:r>
        <w:rPr>
          <w:rFonts w:ascii="Calibri" w:hAnsi="Calibri" w:cs="Calibri" w:eastAsia="Calibri"/>
        </w:rPr>
        <w:t>GB/T50291-2015</w:t>
      </w:r>
      <w:r>
        <w:rPr/>
        <w:t>）</w:t>
      </w:r>
    </w:p>
    <w:p>
      <w:pPr>
        <w:pStyle w:val="BodyText"/>
        <w:spacing w:line="372" w:lineRule="auto" w:before="221"/>
        <w:ind w:right="114" w:firstLine="559"/>
        <w:jc w:val="left"/>
      </w:pPr>
      <w:r>
        <w:rPr>
          <w:rFonts w:ascii="Calibri" w:hAnsi="Calibri" w:cs="Calibri" w:eastAsia="Calibri"/>
          <w:spacing w:val="-2"/>
        </w:rPr>
        <w:t>15</w:t>
      </w:r>
      <w:r>
        <w:rPr>
          <w:spacing w:val="-2"/>
        </w:rPr>
        <w:t>．《全国统一安装工程预算定额江苏省单位估价表》（江苏省建设</w:t>
      </w:r>
      <w:r>
        <w:rPr>
          <w:w w:val="100"/>
        </w:rPr>
        <w:t> </w:t>
      </w:r>
      <w:r>
        <w:rPr/>
        <w:t>工程造价管理总站）；</w:t>
      </w:r>
    </w:p>
    <w:p>
      <w:pPr>
        <w:pStyle w:val="BodyText"/>
        <w:spacing w:line="372" w:lineRule="auto" w:before="103"/>
        <w:ind w:right="114" w:firstLine="559"/>
        <w:jc w:val="left"/>
      </w:pPr>
      <w:r>
        <w:rPr>
          <w:rFonts w:ascii="Calibri" w:hAnsi="Calibri" w:cs="Calibri" w:eastAsia="Calibri"/>
        </w:rPr>
        <w:t>16</w:t>
      </w:r>
      <w:r>
        <w:rPr/>
        <w:t>．建标</w:t>
      </w:r>
      <w:r>
        <w:rPr>
          <w:rFonts w:ascii="Calibri" w:hAnsi="Calibri" w:cs="Calibri" w:eastAsia="Calibri"/>
        </w:rPr>
        <w:t>[2000]38</w:t>
      </w:r>
      <w:r>
        <w:rPr>
          <w:rFonts w:ascii="Calibri" w:hAnsi="Calibri" w:cs="Calibri" w:eastAsia="Calibri"/>
          <w:spacing w:val="-8"/>
        </w:rPr>
        <w:t> </w:t>
      </w:r>
      <w:r>
        <w:rPr/>
        <w:t>号《全国统一建筑安装工程工期定额》；</w:t>
      </w:r>
      <w:r>
        <w:rPr>
          <w:rFonts w:ascii="Calibri" w:hAnsi="Calibri" w:cs="Calibri" w:eastAsia="Calibri"/>
        </w:rPr>
        <w:t>(</w:t>
      </w:r>
      <w:r>
        <w:rPr/>
        <w:t>中华人民</w:t>
      </w:r>
      <w:r>
        <w:rPr>
          <w:w w:val="100"/>
        </w:rPr>
        <w:t> </w:t>
      </w:r>
      <w:r>
        <w:rPr/>
        <w:t>共和国建设部</w:t>
      </w:r>
      <w:r>
        <w:rPr>
          <w:rFonts w:ascii="Calibri" w:hAnsi="Calibri" w:cs="Calibri" w:eastAsia="Calibri"/>
        </w:rPr>
        <w:t>)</w:t>
      </w:r>
      <w:r>
        <w:rPr/>
        <w:t>；</w:t>
      </w:r>
    </w:p>
    <w:p>
      <w:pPr>
        <w:pStyle w:val="BodyText"/>
        <w:spacing w:line="372" w:lineRule="auto" w:before="33"/>
        <w:ind w:right="114" w:firstLine="559"/>
        <w:jc w:val="left"/>
      </w:pPr>
      <w:r>
        <w:rPr>
          <w:rFonts w:ascii="Calibri" w:hAnsi="Calibri" w:cs="Calibri" w:eastAsia="Calibri"/>
          <w:spacing w:val="-2"/>
        </w:rPr>
        <w:t>17</w:t>
      </w:r>
      <w:r>
        <w:rPr>
          <w:spacing w:val="-2"/>
        </w:rPr>
        <w:t>．《江苏省安装工程补充预算定额》（江苏省建设工程造价管理总</w:t>
      </w:r>
      <w:r>
        <w:rPr>
          <w:w w:val="100"/>
        </w:rPr>
        <w:t> </w:t>
      </w:r>
      <w:r>
        <w:rPr/>
        <w:t>站）；</w:t>
      </w:r>
    </w:p>
    <w:p>
      <w:pPr>
        <w:pStyle w:val="BodyText"/>
        <w:spacing w:line="372" w:lineRule="auto" w:before="103"/>
        <w:ind w:right="114" w:firstLine="559"/>
        <w:jc w:val="left"/>
      </w:pPr>
      <w:r>
        <w:rPr>
          <w:rFonts w:ascii="Calibri" w:hAnsi="Calibri" w:cs="Calibri" w:eastAsia="Calibri"/>
          <w:spacing w:val="-2"/>
        </w:rPr>
        <w:t>18</w:t>
      </w:r>
      <w:r>
        <w:rPr>
          <w:spacing w:val="-2"/>
        </w:rPr>
        <w:t>．《江苏省建筑安装工程费用定额》（江苏省建设工程造价管理总</w:t>
      </w:r>
      <w:r>
        <w:rPr>
          <w:w w:val="100"/>
        </w:rPr>
        <w:t> </w:t>
      </w:r>
      <w:r>
        <w:rPr/>
        <w:t>站）；</w:t>
      </w:r>
    </w:p>
    <w:p>
      <w:pPr>
        <w:pStyle w:val="BodyText"/>
        <w:spacing w:line="372" w:lineRule="auto" w:before="103"/>
        <w:ind w:right="114" w:firstLine="559"/>
        <w:jc w:val="left"/>
      </w:pPr>
      <w:r>
        <w:rPr>
          <w:rFonts w:ascii="Calibri" w:hAnsi="Calibri" w:cs="Calibri" w:eastAsia="Calibri"/>
          <w:spacing w:val="-2"/>
        </w:rPr>
        <w:t>19</w:t>
      </w:r>
      <w:r>
        <w:rPr>
          <w:spacing w:val="-2"/>
        </w:rPr>
        <w:t>．《全国统一建筑工程基础定额江苏省统一基价表》（江苏省建设</w:t>
      </w:r>
      <w:r>
        <w:rPr>
          <w:w w:val="100"/>
        </w:rPr>
        <w:t> </w:t>
      </w:r>
      <w:r>
        <w:rPr/>
        <w:t>工程造价管理总站）；</w:t>
      </w:r>
    </w:p>
    <w:p>
      <w:pPr>
        <w:pStyle w:val="BodyText"/>
        <w:spacing w:line="372" w:lineRule="auto" w:before="103"/>
        <w:ind w:right="114" w:firstLine="559"/>
        <w:jc w:val="left"/>
      </w:pPr>
      <w:r>
        <w:rPr>
          <w:rFonts w:ascii="Calibri" w:hAnsi="Calibri" w:cs="Calibri" w:eastAsia="Calibri"/>
          <w:spacing w:val="-2"/>
        </w:rPr>
        <w:t>20</w:t>
      </w:r>
      <w:r>
        <w:rPr>
          <w:spacing w:val="-2"/>
        </w:rPr>
        <w:t>．《全国统一市政工程预算定额江苏省统一基价表》（江苏省建设</w:t>
      </w:r>
      <w:r>
        <w:rPr>
          <w:w w:val="100"/>
        </w:rPr>
        <w:t> </w:t>
      </w:r>
      <w:r>
        <w:rPr/>
        <w:t>工程造价管理总站）；</w:t>
      </w:r>
    </w:p>
    <w:p>
      <w:pPr>
        <w:pStyle w:val="Heading3"/>
        <w:spacing w:line="240" w:lineRule="auto" w:before="103"/>
        <w:ind w:right="114"/>
        <w:jc w:val="left"/>
        <w:rPr>
          <w:b w:val="0"/>
          <w:bCs w:val="0"/>
        </w:rPr>
      </w:pPr>
      <w:r>
        <w:rPr/>
        <w:t>（六）其他依据</w:t>
      </w:r>
      <w:r>
        <w:rPr>
          <w:b w:val="0"/>
          <w:bCs w:val="0"/>
        </w:rPr>
      </w:r>
    </w:p>
    <w:p>
      <w:pPr>
        <w:spacing w:after="0" w:line="240" w:lineRule="auto"/>
        <w:jc w:val="left"/>
        <w:sectPr>
          <w:footerReference w:type="default" r:id="rId10"/>
          <w:pgSz w:w="11910" w:h="16840"/>
          <w:pgMar w:footer="1196" w:header="878" w:top="1100" w:bottom="1380" w:left="1300" w:right="1160"/>
          <w:pgNumType w:start="10"/>
        </w:sectPr>
      </w:pPr>
    </w:p>
    <w:p>
      <w:pPr>
        <w:spacing w:line="240" w:lineRule="auto" w:before="0"/>
        <w:rPr>
          <w:rFonts w:ascii="仿宋" w:hAnsi="仿宋" w:cs="仿宋" w:eastAsia="仿宋"/>
          <w:b/>
          <w:bCs/>
          <w:sz w:val="20"/>
          <w:szCs w:val="20"/>
        </w:rPr>
      </w:pPr>
    </w:p>
    <w:p>
      <w:pPr>
        <w:spacing w:line="321" w:lineRule="auto" w:before="146"/>
        <w:ind w:left="118" w:right="2724" w:firstLine="979"/>
        <w:jc w:val="left"/>
        <w:rPr>
          <w:rFonts w:ascii="仿宋" w:hAnsi="仿宋" w:cs="仿宋" w:eastAsia="仿宋"/>
          <w:sz w:val="28"/>
          <w:szCs w:val="28"/>
        </w:rPr>
      </w:pPr>
      <w:r>
        <w:rPr>
          <w:rFonts w:ascii="仿宋" w:hAnsi="仿宋" w:cs="仿宋" w:eastAsia="仿宋"/>
          <w:spacing w:val="-2"/>
          <w:sz w:val="28"/>
          <w:szCs w:val="28"/>
        </w:rPr>
        <w:t>被评估单位评估基准日审计报告；</w:t>
      </w:r>
      <w:r>
        <w:rPr>
          <w:rFonts w:ascii="仿宋" w:hAnsi="仿宋" w:cs="仿宋" w:eastAsia="仿宋"/>
          <w:w w:val="100"/>
          <w:sz w:val="28"/>
          <w:szCs w:val="28"/>
        </w:rPr>
        <w:t> </w:t>
      </w:r>
      <w:r>
        <w:rPr>
          <w:rFonts w:ascii="仿宋" w:hAnsi="仿宋" w:cs="仿宋" w:eastAsia="仿宋"/>
          <w:b/>
          <w:bCs/>
          <w:sz w:val="28"/>
          <w:szCs w:val="28"/>
        </w:rPr>
        <w:t>七</w:t>
      </w:r>
      <w:bookmarkStart w:name="七、评估方法" w:id="37"/>
      <w:bookmarkEnd w:id="37"/>
      <w:r>
        <w:rPr>
          <w:rFonts w:ascii="仿宋" w:hAnsi="仿宋" w:cs="仿宋" w:eastAsia="仿宋"/>
          <w:b/>
          <w:bCs/>
          <w:sz w:val="28"/>
          <w:szCs w:val="28"/>
        </w:rPr>
      </w:r>
      <w:bookmarkStart w:name="_bookmark9" w:id="38"/>
      <w:bookmarkEnd w:id="38"/>
      <w:r>
        <w:rPr>
          <w:rFonts w:ascii="仿宋" w:hAnsi="仿宋" w:cs="仿宋" w:eastAsia="仿宋"/>
          <w:b/>
          <w:bCs/>
          <w:sz w:val="28"/>
          <w:szCs w:val="28"/>
        </w:rPr>
        <w:t>、</w:t>
      </w:r>
      <w:r>
        <w:rPr>
          <w:rFonts w:ascii="仿宋" w:hAnsi="仿宋" w:cs="仿宋" w:eastAsia="仿宋"/>
          <w:b/>
          <w:bCs/>
          <w:sz w:val="28"/>
          <w:szCs w:val="28"/>
        </w:rPr>
        <w:t>评估方法</w:t>
      </w:r>
      <w:r>
        <w:rPr>
          <w:rFonts w:ascii="仿宋" w:hAnsi="仿宋" w:cs="仿宋" w:eastAsia="仿宋"/>
          <w:sz w:val="28"/>
          <w:szCs w:val="28"/>
        </w:rPr>
      </w:r>
    </w:p>
    <w:p>
      <w:pPr>
        <w:pStyle w:val="BodyText"/>
        <w:spacing w:line="240" w:lineRule="auto" w:before="212"/>
        <w:ind w:left="538" w:right="2724"/>
        <w:jc w:val="left"/>
      </w:pPr>
      <w:r>
        <w:rPr>
          <w:rFonts w:ascii="Wingdings" w:hAnsi="Wingdings" w:cs="Wingdings" w:eastAsia="Wingdings"/>
        </w:rPr>
        <w:t></w:t>
      </w:r>
      <w:r>
        <w:rPr>
          <w:rFonts w:ascii="Wingdings" w:hAnsi="Wingdings" w:cs="Wingdings" w:eastAsia="Wingdings"/>
          <w:spacing w:val="-70"/>
        </w:rPr>
        <w:t></w:t>
      </w:r>
      <w:r>
        <w:rPr>
          <w:rFonts w:ascii="Times New Roman" w:hAnsi="Times New Roman" w:cs="Times New Roman" w:eastAsia="Times New Roman"/>
          <w:spacing w:val="-70"/>
        </w:rPr>
      </w:r>
      <w:bookmarkStart w:name="评估方法的选择 " w:id="39"/>
      <w:bookmarkEnd w:id="39"/>
      <w:r>
        <w:rPr>
          <w:rFonts w:ascii="Times New Roman" w:hAnsi="Times New Roman" w:cs="Times New Roman" w:eastAsia="Times New Roman"/>
          <w:spacing w:val="-70"/>
        </w:rPr>
      </w:r>
      <w:r>
        <w:rPr>
          <w:spacing w:val="5"/>
        </w:rPr>
        <w:t>评估方法的选择</w:t>
      </w:r>
    </w:p>
    <w:p>
      <w:pPr>
        <w:pStyle w:val="BodyText"/>
        <w:spacing w:line="240" w:lineRule="auto" w:before="238"/>
        <w:ind w:left="694" w:right="0"/>
        <w:jc w:val="left"/>
      </w:pPr>
      <w:r>
        <w:rPr>
          <w:rFonts w:ascii="Calibri" w:hAnsi="Calibri" w:cs="Calibri" w:eastAsia="Calibri"/>
          <w:spacing w:val="5"/>
        </w:rPr>
        <w:t>1</w:t>
      </w:r>
      <w:r>
        <w:rPr>
          <w:spacing w:val="5"/>
        </w:rPr>
        <w:t>、资产评估基本方法包括市场法、收益法和成本法。</w:t>
      </w:r>
    </w:p>
    <w:p>
      <w:pPr>
        <w:pStyle w:val="BodyText"/>
        <w:spacing w:line="398" w:lineRule="auto" w:before="221"/>
        <w:ind w:left="538" w:right="0" w:hanging="420"/>
        <w:jc w:val="left"/>
        <w:rPr>
          <w:rFonts w:ascii="宋体" w:hAnsi="宋体" w:cs="宋体" w:eastAsia="宋体"/>
        </w:rPr>
      </w:pPr>
      <w:r>
        <w:rPr>
          <w:rFonts w:ascii="Wingdings" w:hAnsi="Wingdings" w:cs="Wingdings" w:eastAsia="Wingdings"/>
        </w:rPr>
        <w:t></w:t>
      </w:r>
      <w:r>
        <w:rPr>
          <w:rFonts w:ascii="Wingdings" w:hAnsi="Wingdings" w:cs="Wingdings" w:eastAsia="Wingdings"/>
          <w:spacing w:val="18"/>
        </w:rPr>
        <w:t></w:t>
      </w:r>
      <w:r>
        <w:rPr>
          <w:rFonts w:ascii="Times New Roman" w:hAnsi="Times New Roman" w:cs="Times New Roman" w:eastAsia="Times New Roman"/>
          <w:spacing w:val="18"/>
        </w:rPr>
      </w:r>
      <w:r>
        <w:rPr/>
        <w:t>市场法，是指将评估对象与可比上市公司或者可比交易案例进行比较，</w:t>
      </w:r>
      <w:r>
        <w:rPr>
          <w:spacing w:val="-137"/>
        </w:rPr>
        <w:t> </w:t>
      </w:r>
      <w:r>
        <w:rPr>
          <w:spacing w:val="-137"/>
        </w:rPr>
      </w:r>
      <w:r>
        <w:rPr>
          <w:spacing w:val="5"/>
        </w:rPr>
        <w:t>确定评估对象价值的评估方法。</w:t>
      </w:r>
      <w:r>
        <w:rPr>
          <w:w w:val="100"/>
        </w:rPr>
        <w:t> </w:t>
      </w:r>
      <w:r>
        <w:rPr>
          <w:rFonts w:ascii="宋体" w:hAnsi="宋体" w:cs="宋体" w:eastAsia="宋体"/>
          <w:spacing w:val="2"/>
        </w:rPr>
        <w:t>根据替代原则，通过对估价对象和搜集的交易实例的分析，本次评估</w:t>
      </w:r>
    </w:p>
    <w:p>
      <w:pPr>
        <w:pStyle w:val="BodyText"/>
        <w:spacing w:line="408" w:lineRule="auto" w:before="72"/>
        <w:ind w:right="0"/>
        <w:jc w:val="left"/>
        <w:rPr>
          <w:rFonts w:ascii="宋体" w:hAnsi="宋体" w:cs="宋体" w:eastAsia="宋体"/>
        </w:rPr>
      </w:pPr>
      <w:r>
        <w:rPr>
          <w:rFonts w:ascii="宋体" w:hAnsi="宋体" w:cs="宋体" w:eastAsia="宋体"/>
          <w:spacing w:val="2"/>
        </w:rPr>
        <w:t>我们选择三个与估价对象价值时点接近、用途一致、规模相当的交易实例</w:t>
      </w:r>
      <w:r>
        <w:rPr>
          <w:rFonts w:ascii="宋体" w:hAnsi="宋体" w:cs="宋体" w:eastAsia="宋体"/>
          <w:spacing w:val="-101"/>
        </w:rPr>
        <w:t> </w:t>
      </w:r>
      <w:r>
        <w:rPr>
          <w:rFonts w:ascii="宋体" w:hAnsi="宋体" w:cs="宋体" w:eastAsia="宋体"/>
          <w:spacing w:val="-101"/>
        </w:rPr>
      </w:r>
      <w:r>
        <w:rPr>
          <w:rFonts w:ascii="宋体" w:hAnsi="宋体" w:cs="宋体" w:eastAsia="宋体"/>
        </w:rPr>
        <w:t>作为本次估价的可比实例。</w:t>
      </w:r>
    </w:p>
    <w:p>
      <w:pPr>
        <w:pStyle w:val="BodyText"/>
        <w:spacing w:line="398" w:lineRule="auto"/>
        <w:ind w:left="538" w:right="0" w:hanging="420"/>
        <w:jc w:val="left"/>
      </w:pPr>
      <w:r>
        <w:rPr>
          <w:rFonts w:ascii="Wingdings" w:hAnsi="Wingdings" w:cs="Wingdings" w:eastAsia="Wingdings"/>
        </w:rPr>
        <w:t></w:t>
      </w:r>
      <w:r>
        <w:rPr>
          <w:rFonts w:ascii="Wingdings" w:hAnsi="Wingdings" w:cs="Wingdings" w:eastAsia="Wingdings"/>
          <w:spacing w:val="-26"/>
        </w:rPr>
        <w:t></w:t>
      </w:r>
      <w:r>
        <w:rPr>
          <w:rFonts w:ascii="Times New Roman" w:hAnsi="Times New Roman" w:cs="Times New Roman" w:eastAsia="Times New Roman"/>
          <w:spacing w:val="-26"/>
        </w:rPr>
      </w:r>
      <w:r>
        <w:rPr>
          <w:spacing w:val="6"/>
        </w:rPr>
        <w:t>收益法，是指将预期收益资本化或者折现，确定评估对象价值的评估</w:t>
      </w:r>
      <w:r>
        <w:rPr>
          <w:spacing w:val="-138"/>
        </w:rPr>
        <w:t> </w:t>
      </w:r>
      <w:r>
        <w:rPr>
          <w:spacing w:val="-138"/>
        </w:rPr>
      </w:r>
      <w:r>
        <w:rPr>
          <w:spacing w:val="4"/>
        </w:rPr>
        <w:t>方法。</w:t>
      </w:r>
      <w:r>
        <w:rPr>
          <w:w w:val="100"/>
        </w:rPr>
        <w:t> </w:t>
      </w:r>
      <w:r>
        <w:rPr>
          <w:spacing w:val="9"/>
        </w:rPr>
        <w:t>在采用收益法评估中，要求被评估资产价值内涵和运用的收益类型</w:t>
      </w:r>
    </w:p>
    <w:p>
      <w:pPr>
        <w:pStyle w:val="BodyText"/>
        <w:spacing w:line="408" w:lineRule="auto" w:before="72"/>
        <w:ind w:left="677" w:right="3059" w:hanging="560"/>
        <w:jc w:val="left"/>
      </w:pPr>
      <w:r>
        <w:rPr>
          <w:spacing w:val="5"/>
        </w:rPr>
        <w:t>以及折现率的口径必须是一致的。</w:t>
      </w:r>
      <w:r>
        <w:rPr>
          <w:spacing w:val="-103"/>
        </w:rPr>
        <w:t> </w:t>
      </w:r>
      <w:r>
        <w:rPr>
          <w:spacing w:val="-103"/>
        </w:rPr>
      </w:r>
      <w:r>
        <w:rPr>
          <w:spacing w:val="5"/>
        </w:rPr>
        <w:t>收益法适用条件</w:t>
      </w:r>
      <w:r>
        <w:rPr>
          <w:w w:val="100"/>
        </w:rPr>
        <w:t> </w:t>
      </w:r>
      <w:r>
        <w:rPr>
          <w:spacing w:val="5"/>
        </w:rPr>
        <w:t>被评估资产必须具备以下前提条件：</w:t>
      </w:r>
    </w:p>
    <w:p>
      <w:pPr>
        <w:pStyle w:val="BodyText"/>
        <w:spacing w:line="408" w:lineRule="auto"/>
        <w:ind w:right="0" w:firstLine="576"/>
        <w:jc w:val="left"/>
      </w:pPr>
      <w:r>
        <w:rPr>
          <w:spacing w:val="5"/>
        </w:rPr>
        <w:t>（1）委估资产持续经营并能产生经营收益，且经营收益可以用货币</w:t>
      </w:r>
      <w:r>
        <w:rPr>
          <w:w w:val="100"/>
        </w:rPr>
        <w:t> </w:t>
      </w:r>
      <w:r>
        <w:rPr>
          <w:spacing w:val="4"/>
        </w:rPr>
        <w:t>计量；</w:t>
      </w:r>
    </w:p>
    <w:p>
      <w:pPr>
        <w:pStyle w:val="BodyText"/>
        <w:spacing w:line="240" w:lineRule="auto"/>
        <w:ind w:left="694" w:right="0"/>
        <w:jc w:val="left"/>
      </w:pPr>
      <w:r>
        <w:rPr>
          <w:spacing w:val="5"/>
        </w:rPr>
        <w:t>（2）委估资产在未来经营中面临的风险可以计量。</w:t>
      </w:r>
    </w:p>
    <w:p>
      <w:pPr>
        <w:spacing w:line="240" w:lineRule="auto" w:before="9"/>
        <w:rPr>
          <w:rFonts w:ascii="仿宋" w:hAnsi="仿宋" w:cs="仿宋" w:eastAsia="仿宋"/>
          <w:sz w:val="19"/>
          <w:szCs w:val="19"/>
        </w:rPr>
      </w:pPr>
    </w:p>
    <w:p>
      <w:pPr>
        <w:pStyle w:val="BodyText"/>
        <w:spacing w:line="400" w:lineRule="auto" w:before="0"/>
        <w:ind w:left="538" w:right="0" w:hanging="420"/>
        <w:jc w:val="left"/>
      </w:pPr>
      <w:r>
        <w:rPr>
          <w:rFonts w:ascii="Wingdings" w:hAnsi="Wingdings" w:cs="Wingdings" w:eastAsia="Wingdings"/>
        </w:rPr>
        <w:t></w:t>
      </w:r>
      <w:r>
        <w:rPr>
          <w:rFonts w:ascii="Wingdings" w:hAnsi="Wingdings" w:cs="Wingdings" w:eastAsia="Wingdings"/>
          <w:spacing w:val="-26"/>
        </w:rPr>
        <w:t></w:t>
      </w:r>
      <w:r>
        <w:rPr>
          <w:rFonts w:ascii="Times New Roman" w:hAnsi="Times New Roman" w:cs="Times New Roman" w:eastAsia="Times New Roman"/>
          <w:spacing w:val="-26"/>
        </w:rPr>
      </w:r>
      <w:r>
        <w:rPr>
          <w:spacing w:val="6"/>
        </w:rPr>
        <w:t>成本法是指首先估测被评估资产的重置成本，然后估测被评估资产业</w:t>
      </w:r>
      <w:r>
        <w:rPr>
          <w:spacing w:val="-138"/>
        </w:rPr>
        <w:t> </w:t>
      </w:r>
      <w:r>
        <w:rPr>
          <w:spacing w:val="-138"/>
        </w:rPr>
      </w:r>
      <w:r>
        <w:rPr>
          <w:spacing w:val="6"/>
        </w:rPr>
        <w:t>已存在的各种贬值因素，并将其从重置成本中予以扣除而得到被评估</w:t>
      </w:r>
      <w:r>
        <w:rPr>
          <w:w w:val="100"/>
        </w:rPr>
        <w:t> </w:t>
      </w:r>
      <w:r>
        <w:rPr>
          <w:spacing w:val="5"/>
        </w:rPr>
        <w:t>资产价值的评估方法。</w:t>
      </w:r>
      <w:r>
        <w:rPr>
          <w:w w:val="100"/>
        </w:rPr>
        <w:t> </w:t>
      </w:r>
      <w:r>
        <w:rPr>
          <w:spacing w:val="5"/>
        </w:rPr>
        <w:t>根据资产的实际情况采用重置成本法进行评估，即：</w:t>
      </w:r>
    </w:p>
    <w:p>
      <w:pPr>
        <w:spacing w:after="0" w:line="400" w:lineRule="auto"/>
        <w:jc w:val="left"/>
        <w:sectPr>
          <w:pgSz w:w="11910" w:h="16840"/>
          <w:pgMar w:header="878" w:footer="1196" w:top="1100" w:bottom="1380" w:left="1300" w:right="1180"/>
        </w:sectPr>
      </w:pPr>
    </w:p>
    <w:p>
      <w:pPr>
        <w:spacing w:line="240" w:lineRule="auto" w:before="0"/>
        <w:rPr>
          <w:rFonts w:ascii="仿宋" w:hAnsi="仿宋" w:cs="仿宋" w:eastAsia="仿宋"/>
          <w:sz w:val="20"/>
          <w:szCs w:val="20"/>
        </w:rPr>
      </w:pPr>
    </w:p>
    <w:p>
      <w:pPr>
        <w:pStyle w:val="BodyText"/>
        <w:spacing w:line="240" w:lineRule="auto" w:before="146"/>
        <w:ind w:left="694" w:right="114"/>
        <w:jc w:val="left"/>
      </w:pPr>
      <w:r>
        <w:rPr>
          <w:spacing w:val="4"/>
        </w:rPr>
        <w:t>评估价值</w:t>
      </w:r>
      <w:r>
        <w:rPr>
          <w:rFonts w:ascii="Calibri" w:hAnsi="Calibri" w:cs="Calibri" w:eastAsia="Calibri"/>
          <w:spacing w:val="4"/>
        </w:rPr>
        <w:t>=</w:t>
      </w:r>
      <w:r>
        <w:rPr>
          <w:spacing w:val="4"/>
        </w:rPr>
        <w:t>重置价值</w:t>
      </w:r>
      <w:r>
        <w:rPr>
          <w:rFonts w:ascii="Calibri" w:hAnsi="Calibri" w:cs="Calibri" w:eastAsia="Calibri"/>
          <w:spacing w:val="4"/>
        </w:rPr>
        <w:t>×</w:t>
      </w:r>
      <w:r>
        <w:rPr>
          <w:spacing w:val="4"/>
        </w:rPr>
        <w:t>成新率</w:t>
      </w:r>
    </w:p>
    <w:p>
      <w:pPr>
        <w:pStyle w:val="BodyText"/>
        <w:spacing w:line="372" w:lineRule="auto" w:before="221"/>
        <w:ind w:left="694" w:right="114"/>
        <w:jc w:val="left"/>
      </w:pPr>
      <w:r>
        <w:rPr>
          <w:rFonts w:ascii="Calibri" w:hAnsi="Calibri" w:cs="Calibri" w:eastAsia="Calibri"/>
          <w:spacing w:val="4"/>
        </w:rPr>
        <w:t>①</w:t>
      </w:r>
      <w:r>
        <w:rPr>
          <w:spacing w:val="4"/>
        </w:rPr>
        <w:t>重置价值的确定</w:t>
      </w:r>
      <w:r>
        <w:rPr>
          <w:spacing w:val="-121"/>
        </w:rPr>
        <w:t> </w:t>
      </w:r>
      <w:r>
        <w:rPr>
          <w:spacing w:val="-121"/>
        </w:rPr>
      </w:r>
      <w:r>
        <w:rPr>
          <w:spacing w:val="9"/>
        </w:rPr>
        <w:t>根据当前市场调查和查阅有关价格资料，以现行市场供货价格确定</w:t>
      </w:r>
    </w:p>
    <w:p>
      <w:pPr>
        <w:pStyle w:val="BodyText"/>
        <w:spacing w:line="408" w:lineRule="auto" w:before="103"/>
        <w:ind w:right="263"/>
        <w:jc w:val="both"/>
      </w:pPr>
      <w:r>
        <w:rPr>
          <w:spacing w:val="9"/>
        </w:rPr>
        <w:t>购置成本，并综合考虑运杂费、安装调试费等相关费用确定重置价值。</w:t>
      </w:r>
      <w:r>
        <w:rPr>
          <w:spacing w:val="-61"/>
        </w:rPr>
        <w:t> </w:t>
      </w:r>
      <w:r>
        <w:rPr>
          <w:spacing w:val="-61"/>
        </w:rPr>
      </w:r>
      <w:r>
        <w:rPr>
          <w:spacing w:val="9"/>
        </w:rPr>
        <w:t>对于无需特殊安装的小型设备，重置价值则不另行考虑其运杂费及安装</w:t>
      </w:r>
      <w:r>
        <w:rPr>
          <w:spacing w:val="-61"/>
        </w:rPr>
        <w:t> </w:t>
      </w:r>
      <w:r>
        <w:rPr>
          <w:spacing w:val="-61"/>
        </w:rPr>
      </w:r>
      <w:r>
        <w:rPr>
          <w:spacing w:val="4"/>
        </w:rPr>
        <w:t>调试费。</w:t>
      </w:r>
    </w:p>
    <w:p>
      <w:pPr>
        <w:pStyle w:val="BodyText"/>
        <w:spacing w:line="372" w:lineRule="auto"/>
        <w:ind w:left="694" w:right="114"/>
        <w:jc w:val="left"/>
      </w:pPr>
      <w:r>
        <w:rPr>
          <w:rFonts w:ascii="Calibri" w:hAnsi="Calibri" w:cs="Calibri" w:eastAsia="Calibri"/>
          <w:spacing w:val="4"/>
        </w:rPr>
        <w:t>②</w:t>
      </w:r>
      <w:r>
        <w:rPr>
          <w:spacing w:val="4"/>
        </w:rPr>
        <w:t>成新率的确定</w:t>
      </w:r>
      <w:r>
        <w:rPr>
          <w:spacing w:val="-125"/>
        </w:rPr>
        <w:t> </w:t>
      </w:r>
      <w:r>
        <w:rPr>
          <w:spacing w:val="-125"/>
        </w:rPr>
      </w:r>
      <w:r>
        <w:rPr>
          <w:spacing w:val="9"/>
        </w:rPr>
        <w:t>根据现场勘察结果及相关专业技术人员对设备当前的技术状态、实</w:t>
      </w:r>
    </w:p>
    <w:p>
      <w:pPr>
        <w:pStyle w:val="BodyText"/>
        <w:spacing w:line="408" w:lineRule="auto" w:before="103"/>
        <w:ind w:right="263"/>
        <w:jc w:val="both"/>
      </w:pPr>
      <w:r>
        <w:rPr>
          <w:spacing w:val="9"/>
        </w:rPr>
        <w:t>际使用情况的介绍，结合设备的综合使用寿命，同时考虑设备的使用频</w:t>
      </w:r>
      <w:r>
        <w:rPr>
          <w:spacing w:val="-61"/>
        </w:rPr>
        <w:t> </w:t>
      </w:r>
      <w:r>
        <w:rPr>
          <w:spacing w:val="-61"/>
        </w:rPr>
      </w:r>
      <w:r>
        <w:rPr>
          <w:spacing w:val="5"/>
        </w:rPr>
        <w:t>率、以及维护、维修、保养状况等因素综合确定。</w:t>
      </w:r>
    </w:p>
    <w:p>
      <w:pPr>
        <w:pStyle w:val="BodyText"/>
        <w:spacing w:line="408" w:lineRule="auto"/>
        <w:ind w:right="114" w:firstLine="576"/>
        <w:jc w:val="left"/>
      </w:pPr>
      <w:r>
        <w:rPr>
          <w:spacing w:val="5"/>
        </w:rPr>
        <w:t>经资产评估师现场勘查和调研，确定评估房屋选用成本法、收益法，</w:t>
      </w:r>
      <w:r>
        <w:rPr>
          <w:w w:val="100"/>
        </w:rPr>
        <w:t> </w:t>
      </w:r>
      <w:r>
        <w:rPr>
          <w:spacing w:val="-3"/>
        </w:rPr>
        <w:t>评估机器设备选用成本法，评估土地使用权（租金）选用市场法、收益法。</w:t>
      </w:r>
    </w:p>
    <w:p>
      <w:pPr>
        <w:spacing w:line="460" w:lineRule="exact" w:before="0"/>
        <w:ind w:left="677" w:right="114" w:hanging="560"/>
        <w:jc w:val="left"/>
        <w:rPr>
          <w:rFonts w:ascii="Microsoft JhengHei" w:hAnsi="Microsoft JhengHei" w:cs="Microsoft JhengHei" w:eastAsia="Microsoft JhengHei"/>
          <w:sz w:val="28"/>
          <w:szCs w:val="28"/>
        </w:rPr>
      </w:pPr>
      <w:r>
        <w:rPr>
          <w:rFonts w:ascii="Wingdings" w:hAnsi="Wingdings" w:cs="Wingdings" w:eastAsia="Wingdings"/>
          <w:sz w:val="28"/>
          <w:szCs w:val="28"/>
        </w:rPr>
        <w:t></w:t>
      </w:r>
      <w:r>
        <w:rPr>
          <w:rFonts w:ascii="Wingdings" w:hAnsi="Wingdings" w:cs="Wingdings" w:eastAsia="Wingdings"/>
          <w:spacing w:val="-80"/>
          <w:sz w:val="28"/>
          <w:szCs w:val="28"/>
        </w:rPr>
        <w:t></w:t>
      </w:r>
      <w:r>
        <w:rPr>
          <w:rFonts w:ascii="Times New Roman" w:hAnsi="Times New Roman" w:cs="Times New Roman" w:eastAsia="Times New Roman"/>
          <w:spacing w:val="-80"/>
          <w:sz w:val="28"/>
          <w:szCs w:val="28"/>
        </w:rPr>
      </w:r>
      <w:bookmarkStart w:name="房屋建筑评估" w:id="40"/>
      <w:bookmarkEnd w:id="40"/>
      <w:r>
        <w:rPr>
          <w:rFonts w:ascii="Times New Roman" w:hAnsi="Times New Roman" w:cs="Times New Roman" w:eastAsia="Times New Roman"/>
          <w:spacing w:val="-80"/>
          <w:sz w:val="28"/>
          <w:szCs w:val="28"/>
        </w:rPr>
      </w:r>
      <w:bookmarkStart w:name="_bookmark10" w:id="41"/>
      <w:bookmarkEnd w:id="41"/>
      <w:r>
        <w:rPr>
          <w:rFonts w:ascii="Times New Roman" w:hAnsi="Times New Roman" w:cs="Times New Roman" w:eastAsia="Times New Roman"/>
          <w:spacing w:val="-80"/>
          <w:sz w:val="28"/>
          <w:szCs w:val="28"/>
        </w:rPr>
      </w:r>
      <w:r>
        <w:rPr>
          <w:rFonts w:ascii="Microsoft JhengHei" w:hAnsi="Microsoft JhengHei" w:cs="Microsoft JhengHei" w:eastAsia="Microsoft JhengHei"/>
          <w:b/>
          <w:bCs/>
          <w:sz w:val="28"/>
          <w:szCs w:val="28"/>
        </w:rPr>
        <w:t>房屋建筑评估</w:t>
      </w:r>
      <w:r>
        <w:rPr>
          <w:rFonts w:ascii="Microsoft JhengHei" w:hAnsi="Microsoft JhengHei" w:cs="Microsoft JhengHei" w:eastAsia="Microsoft JhengHei"/>
          <w:sz w:val="28"/>
          <w:szCs w:val="28"/>
        </w:rPr>
      </w:r>
    </w:p>
    <w:p>
      <w:pPr>
        <w:pStyle w:val="BodyText"/>
        <w:spacing w:line="408" w:lineRule="auto" w:before="225"/>
        <w:ind w:right="114" w:firstLine="559"/>
        <w:jc w:val="left"/>
        <w:rPr>
          <w:rFonts w:ascii="宋体" w:hAnsi="宋体" w:cs="宋体" w:eastAsia="宋体"/>
        </w:rPr>
      </w:pPr>
      <w:r>
        <w:rPr>
          <w:rFonts w:ascii="宋体" w:hAnsi="宋体" w:cs="宋体" w:eastAsia="宋体"/>
          <w:spacing w:val="-3"/>
        </w:rPr>
        <w:t>本次纳入评估的房屋建筑物，根据评估目的和资产特点，采用成本法、</w:t>
      </w:r>
      <w:r>
        <w:rPr>
          <w:rFonts w:ascii="宋体" w:hAnsi="宋体" w:cs="宋体" w:eastAsia="宋体"/>
          <w:w w:val="100"/>
        </w:rPr>
        <w:t> </w:t>
      </w:r>
      <w:r>
        <w:rPr>
          <w:rFonts w:ascii="宋体" w:hAnsi="宋体" w:cs="宋体" w:eastAsia="宋体"/>
        </w:rPr>
        <w:t>收益法进行评估。</w:t>
      </w:r>
    </w:p>
    <w:p>
      <w:pPr>
        <w:pStyle w:val="BodyText"/>
        <w:spacing w:line="408" w:lineRule="auto"/>
        <w:ind w:left="677" w:right="114"/>
        <w:jc w:val="left"/>
        <w:rPr>
          <w:rFonts w:ascii="宋体" w:hAnsi="宋体" w:cs="宋体" w:eastAsia="宋体"/>
        </w:rPr>
      </w:pPr>
      <w:r>
        <w:rPr>
          <w:rFonts w:ascii="宋体" w:hAnsi="宋体" w:cs="宋体" w:eastAsia="宋体"/>
        </w:rPr>
        <w:t>本项目中涉及的房屋评估方法的取舍理由：</w:t>
      </w:r>
      <w:r>
        <w:rPr>
          <w:rFonts w:ascii="宋体" w:hAnsi="宋体" w:cs="宋体" w:eastAsia="宋体"/>
          <w:w w:val="100"/>
        </w:rPr>
        <w:t> </w:t>
      </w:r>
      <w:r>
        <w:rPr>
          <w:rFonts w:ascii="宋体" w:hAnsi="宋体" w:cs="宋体" w:eastAsia="宋体"/>
          <w:spacing w:val="2"/>
        </w:rPr>
        <w:t>由于缺乏与被评估对象可比的交易实例，以及将其与评估对象对比分</w:t>
      </w:r>
    </w:p>
    <w:p>
      <w:pPr>
        <w:pStyle w:val="BodyText"/>
        <w:spacing w:line="408" w:lineRule="auto"/>
        <w:ind w:right="253"/>
        <w:jc w:val="both"/>
        <w:rPr>
          <w:rFonts w:ascii="宋体" w:hAnsi="宋体" w:cs="宋体" w:eastAsia="宋体"/>
        </w:rPr>
      </w:pPr>
      <w:r>
        <w:rPr>
          <w:rFonts w:ascii="宋体" w:hAnsi="宋体" w:cs="宋体" w:eastAsia="宋体"/>
          <w:spacing w:val="2"/>
        </w:rPr>
        <w:t>析所需要的相关资料，不具备采用市场法进行评估的操作条件，故本项目</w:t>
      </w:r>
      <w:r>
        <w:rPr>
          <w:rFonts w:ascii="宋体" w:hAnsi="宋体" w:cs="宋体" w:eastAsia="宋体"/>
          <w:spacing w:val="-101"/>
        </w:rPr>
        <w:t> </w:t>
      </w:r>
      <w:r>
        <w:rPr>
          <w:rFonts w:ascii="宋体" w:hAnsi="宋体" w:cs="宋体" w:eastAsia="宋体"/>
          <w:spacing w:val="-101"/>
        </w:rPr>
      </w:r>
      <w:r>
        <w:rPr>
          <w:rFonts w:ascii="宋体" w:hAnsi="宋体" w:cs="宋体" w:eastAsia="宋体"/>
        </w:rPr>
        <w:t>中涉及的房屋的评估方法不采用市场法；</w:t>
      </w:r>
    </w:p>
    <w:p>
      <w:pPr>
        <w:pStyle w:val="BodyText"/>
        <w:spacing w:line="408" w:lineRule="auto"/>
        <w:ind w:right="253" w:firstLine="559"/>
        <w:jc w:val="both"/>
        <w:rPr>
          <w:rFonts w:ascii="宋体" w:hAnsi="宋体" w:cs="宋体" w:eastAsia="宋体"/>
        </w:rPr>
      </w:pPr>
      <w:r>
        <w:rPr>
          <w:rFonts w:ascii="宋体" w:hAnsi="宋体" w:cs="宋体" w:eastAsia="宋体"/>
          <w:spacing w:val="2"/>
        </w:rPr>
        <w:t>本次评估的房屋的重置成本能够准确取得，也可以根据资产状况确定</w:t>
      </w:r>
      <w:r>
        <w:rPr>
          <w:rFonts w:ascii="宋体" w:hAnsi="宋体" w:cs="宋体" w:eastAsia="宋体"/>
          <w:w w:val="100"/>
        </w:rPr>
        <w:t> </w:t>
      </w:r>
      <w:r>
        <w:rPr>
          <w:rFonts w:ascii="宋体" w:hAnsi="宋体" w:cs="宋体" w:eastAsia="宋体"/>
          <w:spacing w:val="2"/>
        </w:rPr>
        <w:t>成新率，所以符合成本法的应用条件及使用范围，故本项目中涉及的房屋</w:t>
      </w:r>
      <w:r>
        <w:rPr>
          <w:rFonts w:ascii="宋体" w:hAnsi="宋体" w:cs="宋体" w:eastAsia="宋体"/>
          <w:spacing w:val="-101"/>
        </w:rPr>
        <w:t> </w:t>
      </w:r>
      <w:r>
        <w:rPr>
          <w:rFonts w:ascii="宋体" w:hAnsi="宋体" w:cs="宋体" w:eastAsia="宋体"/>
          <w:spacing w:val="-101"/>
        </w:rPr>
      </w:r>
      <w:r>
        <w:rPr>
          <w:rFonts w:ascii="宋体" w:hAnsi="宋体" w:cs="宋体" w:eastAsia="宋体"/>
        </w:rPr>
        <w:t>的评估方法可以选取成本法；</w:t>
      </w:r>
    </w:p>
    <w:p>
      <w:pPr>
        <w:spacing w:after="0" w:line="408" w:lineRule="auto"/>
        <w:jc w:val="both"/>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right="253" w:firstLine="559"/>
        <w:jc w:val="both"/>
        <w:rPr>
          <w:rFonts w:ascii="宋体" w:hAnsi="宋体" w:cs="宋体" w:eastAsia="宋体"/>
        </w:rPr>
      </w:pPr>
      <w:r>
        <w:rPr>
          <w:rFonts w:ascii="宋体" w:hAnsi="宋体" w:cs="宋体" w:eastAsia="宋体"/>
          <w:spacing w:val="2"/>
        </w:rPr>
        <w:t>结合被评估对象历史状况，可以预测其未来收益及收益期限，具备采</w:t>
      </w:r>
      <w:r>
        <w:rPr>
          <w:rFonts w:ascii="宋体" w:hAnsi="宋体" w:cs="宋体" w:eastAsia="宋体"/>
          <w:w w:val="100"/>
        </w:rPr>
        <w:t> </w:t>
      </w:r>
      <w:r>
        <w:rPr>
          <w:rFonts w:ascii="宋体" w:hAnsi="宋体" w:cs="宋体" w:eastAsia="宋体"/>
          <w:spacing w:val="2"/>
        </w:rPr>
        <w:t>用收益法实施评估的操作条件，故本项目中涉及的房屋的评估方法可以采</w:t>
      </w:r>
      <w:r>
        <w:rPr>
          <w:rFonts w:ascii="宋体" w:hAnsi="宋体" w:cs="宋体" w:eastAsia="宋体"/>
          <w:spacing w:val="-101"/>
        </w:rPr>
        <w:t> </w:t>
      </w:r>
      <w:r>
        <w:rPr>
          <w:rFonts w:ascii="宋体" w:hAnsi="宋体" w:cs="宋体" w:eastAsia="宋体"/>
          <w:spacing w:val="-101"/>
        </w:rPr>
      </w:r>
      <w:r>
        <w:rPr>
          <w:rFonts w:ascii="宋体" w:hAnsi="宋体" w:cs="宋体" w:eastAsia="宋体"/>
        </w:rPr>
        <w:t>用收益法。</w:t>
      </w:r>
    </w:p>
    <w:p>
      <w:pPr>
        <w:pStyle w:val="BodyText"/>
        <w:tabs>
          <w:tab w:pos="958" w:val="left" w:leader="none"/>
        </w:tabs>
        <w:spacing w:line="398" w:lineRule="auto"/>
        <w:ind w:left="677" w:right="2883" w:hanging="140"/>
        <w:jc w:val="left"/>
        <w:rPr>
          <w:rFonts w:ascii="宋体" w:hAnsi="宋体" w:cs="宋体" w:eastAsia="宋体"/>
        </w:rPr>
      </w:pPr>
      <w:r>
        <w:rPr>
          <w:rFonts w:ascii="Wingdings" w:hAnsi="Wingdings" w:cs="Wingdings" w:eastAsia="Wingdings"/>
        </w:rPr>
        <w:t></w:t>
      </w:r>
      <w:r>
        <w:rPr>
          <w:rFonts w:ascii="Times New Roman" w:hAnsi="Times New Roman" w:cs="Times New Roman" w:eastAsia="Times New Roman"/>
        </w:rPr>
        <w:tab/>
      </w:r>
      <w:bookmarkStart w:name="成本法" w:id="42"/>
      <w:bookmarkEnd w:id="42"/>
      <w:r>
        <w:rPr>
          <w:rFonts w:ascii="Times New Roman" w:hAnsi="Times New Roman" w:cs="Times New Roman" w:eastAsia="Times New Roman"/>
        </w:rPr>
      </w:r>
      <w:r>
        <w:rPr>
          <w:rFonts w:ascii="宋体" w:hAnsi="宋体" w:cs="宋体" w:eastAsia="宋体"/>
        </w:rPr>
        <w:t>成本法</w:t>
      </w:r>
      <w:r>
        <w:rPr>
          <w:rFonts w:ascii="宋体" w:hAnsi="宋体" w:cs="宋体" w:eastAsia="宋体"/>
          <w:w w:val="100"/>
        </w:rPr>
        <w:t> </w:t>
      </w:r>
      <w:r>
        <w:rPr>
          <w:rFonts w:ascii="宋体" w:hAnsi="宋体" w:cs="宋体" w:eastAsia="宋体"/>
          <w:spacing w:val="-2"/>
        </w:rPr>
        <w:t>成本法的计算公式：评估值＝全价×综合成新率</w:t>
      </w:r>
      <w:r>
        <w:rPr>
          <w:rFonts w:ascii="宋体" w:hAnsi="宋体" w:cs="宋体" w:eastAsia="宋体"/>
          <w:w w:val="100"/>
        </w:rPr>
        <w:t> </w:t>
      </w:r>
      <w:r>
        <w:rPr>
          <w:rFonts w:ascii="宋体" w:hAnsi="宋体" w:cs="宋体" w:eastAsia="宋体"/>
        </w:rPr>
        <w:t>1.全价的确定</w:t>
      </w:r>
    </w:p>
    <w:p>
      <w:pPr>
        <w:pStyle w:val="BodyText"/>
        <w:spacing w:line="408" w:lineRule="auto" w:before="72"/>
        <w:ind w:left="677" w:right="797"/>
        <w:jc w:val="left"/>
        <w:rPr>
          <w:rFonts w:ascii="宋体" w:hAnsi="宋体" w:cs="宋体" w:eastAsia="宋体"/>
        </w:rPr>
      </w:pPr>
      <w:r>
        <w:rPr>
          <w:rFonts w:ascii="宋体" w:hAnsi="宋体" w:cs="宋体" w:eastAsia="宋体"/>
          <w:spacing w:val="-2"/>
        </w:rPr>
        <w:t>评估原值＝建筑安装工程造价+前期费用及其他费用+资金成本</w:t>
      </w:r>
      <w:r>
        <w:rPr>
          <w:rFonts w:ascii="宋体" w:hAnsi="宋体" w:cs="宋体" w:eastAsia="宋体"/>
          <w:spacing w:val="-102"/>
        </w:rPr>
        <w:t> </w:t>
      </w:r>
      <w:r>
        <w:rPr>
          <w:rFonts w:ascii="宋体" w:hAnsi="宋体" w:cs="宋体" w:eastAsia="宋体"/>
          <w:spacing w:val="-102"/>
        </w:rPr>
      </w:r>
      <w:r>
        <w:rPr>
          <w:rFonts w:ascii="宋体" w:hAnsi="宋体" w:cs="宋体" w:eastAsia="宋体"/>
        </w:rPr>
        <w:t>其中：</w:t>
      </w:r>
    </w:p>
    <w:p>
      <w:pPr>
        <w:pStyle w:val="BodyText"/>
        <w:spacing w:line="408" w:lineRule="auto"/>
        <w:ind w:right="256" w:firstLine="559"/>
        <w:jc w:val="both"/>
        <w:rPr>
          <w:rFonts w:ascii="宋体" w:hAnsi="宋体" w:cs="宋体" w:eastAsia="宋体"/>
        </w:rPr>
      </w:pPr>
      <w:r>
        <w:rPr>
          <w:rFonts w:ascii="宋体" w:hAnsi="宋体" w:cs="宋体" w:eastAsia="宋体"/>
          <w:spacing w:val="2"/>
        </w:rPr>
        <w:t>建筑安装工程综合造价指建设单位直接投入工程建设，支付给承包商</w:t>
      </w:r>
      <w:r>
        <w:rPr>
          <w:rFonts w:ascii="宋体" w:hAnsi="宋体" w:cs="宋体" w:eastAsia="宋体"/>
          <w:w w:val="100"/>
        </w:rPr>
        <w:t> </w:t>
      </w:r>
      <w:r>
        <w:rPr>
          <w:rFonts w:ascii="宋体" w:hAnsi="宋体" w:cs="宋体" w:eastAsia="宋体"/>
        </w:rPr>
        <w:t>的建筑费用。</w:t>
      </w:r>
    </w:p>
    <w:p>
      <w:pPr>
        <w:pStyle w:val="BodyText"/>
        <w:spacing w:line="408" w:lineRule="auto"/>
        <w:ind w:left="677" w:right="114"/>
        <w:jc w:val="left"/>
        <w:rPr>
          <w:rFonts w:ascii="宋体" w:hAnsi="宋体" w:cs="宋体" w:eastAsia="宋体"/>
        </w:rPr>
      </w:pPr>
      <w:r>
        <w:rPr>
          <w:rFonts w:ascii="宋体" w:hAnsi="宋体" w:cs="宋体" w:eastAsia="宋体"/>
        </w:rPr>
        <w:t>建筑安装工程综合造价＝建筑工程造价+装饰工程造价+安装工程造价</w:t>
      </w:r>
      <w:r>
        <w:rPr>
          <w:rFonts w:ascii="宋体" w:hAnsi="宋体" w:cs="宋体" w:eastAsia="宋体"/>
          <w:w w:val="100"/>
        </w:rPr>
        <w:t> </w:t>
      </w:r>
      <w:r>
        <w:rPr>
          <w:rFonts w:ascii="宋体" w:hAnsi="宋体" w:cs="宋体" w:eastAsia="宋体"/>
          <w:spacing w:val="2"/>
        </w:rPr>
        <w:t>评估人员按被评估建筑物的用途分类归集、选择同类用途和结构中有</w:t>
      </w:r>
    </w:p>
    <w:p>
      <w:pPr>
        <w:pStyle w:val="BodyText"/>
        <w:spacing w:line="408" w:lineRule="auto"/>
        <w:ind w:right="114"/>
        <w:jc w:val="left"/>
        <w:rPr>
          <w:rFonts w:ascii="宋体" w:hAnsi="宋体" w:cs="宋体" w:eastAsia="宋体"/>
        </w:rPr>
      </w:pPr>
      <w:r>
        <w:rPr>
          <w:rFonts w:ascii="宋体" w:hAnsi="宋体" w:cs="宋体" w:eastAsia="宋体"/>
          <w:spacing w:val="-11"/>
        </w:rPr>
        <w:t>一定代表性的建筑物进行决算指标调整，根据当地有关土建（建筑及装饰）、</w:t>
      </w:r>
      <w:r>
        <w:rPr>
          <w:rFonts w:ascii="宋体" w:hAnsi="宋体" w:cs="宋体" w:eastAsia="宋体"/>
          <w:spacing w:val="-96"/>
        </w:rPr>
        <w:t> </w:t>
      </w:r>
      <w:r>
        <w:rPr>
          <w:rFonts w:ascii="宋体" w:hAnsi="宋体" w:cs="宋体" w:eastAsia="宋体"/>
          <w:spacing w:val="-96"/>
        </w:rPr>
      </w:r>
      <w:r>
        <w:rPr>
          <w:rFonts w:ascii="宋体" w:hAnsi="宋体" w:cs="宋体" w:eastAsia="宋体"/>
          <w:spacing w:val="2"/>
        </w:rPr>
        <w:t>安装等工程造价资料，将有代表性的参照建筑物的价格调至评估基准日建</w:t>
      </w:r>
      <w:r>
        <w:rPr>
          <w:rFonts w:ascii="宋体" w:hAnsi="宋体" w:cs="宋体" w:eastAsia="宋体"/>
          <w:spacing w:val="-101"/>
        </w:rPr>
        <w:t> </w:t>
      </w:r>
      <w:r>
        <w:rPr>
          <w:rFonts w:ascii="宋体" w:hAnsi="宋体" w:cs="宋体" w:eastAsia="宋体"/>
          <w:spacing w:val="-101"/>
        </w:rPr>
      </w:r>
      <w:r>
        <w:rPr>
          <w:rFonts w:ascii="宋体" w:hAnsi="宋体" w:cs="宋体" w:eastAsia="宋体"/>
        </w:rPr>
        <w:t>筑安装工程造价。</w:t>
      </w:r>
    </w:p>
    <w:p>
      <w:pPr>
        <w:pStyle w:val="BodyText"/>
        <w:spacing w:line="408" w:lineRule="auto"/>
        <w:ind w:right="253" w:firstLine="559"/>
        <w:jc w:val="both"/>
        <w:rPr>
          <w:rFonts w:ascii="宋体" w:hAnsi="宋体" w:cs="宋体" w:eastAsia="宋体"/>
        </w:rPr>
      </w:pPr>
      <w:r>
        <w:rPr>
          <w:rFonts w:ascii="宋体" w:hAnsi="宋体" w:cs="宋体" w:eastAsia="宋体"/>
          <w:spacing w:val="2"/>
        </w:rPr>
        <w:t>前期费及其他费用根据被评估建设项目应发生的，支付给工程承包商</w:t>
      </w:r>
      <w:r>
        <w:rPr>
          <w:rFonts w:ascii="宋体" w:hAnsi="宋体" w:cs="宋体" w:eastAsia="宋体"/>
          <w:w w:val="100"/>
        </w:rPr>
        <w:t> </w:t>
      </w:r>
      <w:r>
        <w:rPr>
          <w:rFonts w:ascii="宋体" w:hAnsi="宋体" w:cs="宋体" w:eastAsia="宋体"/>
          <w:spacing w:val="2"/>
        </w:rPr>
        <w:t>以外的单位或政府部门的费用计算，主要包括建设单位管理费、勘察设计</w:t>
      </w:r>
      <w:r>
        <w:rPr>
          <w:rFonts w:ascii="宋体" w:hAnsi="宋体" w:cs="宋体" w:eastAsia="宋体"/>
          <w:spacing w:val="-101"/>
        </w:rPr>
        <w:t> </w:t>
      </w:r>
      <w:r>
        <w:rPr>
          <w:rFonts w:ascii="宋体" w:hAnsi="宋体" w:cs="宋体" w:eastAsia="宋体"/>
          <w:spacing w:val="-101"/>
        </w:rPr>
      </w:r>
      <w:r>
        <w:rPr>
          <w:rFonts w:ascii="宋体" w:hAnsi="宋体" w:cs="宋体" w:eastAsia="宋体"/>
          <w:spacing w:val="2"/>
        </w:rPr>
        <w:t>费等、建筑工程监理费、建筑工程招标代理费、建筑项目环境影响咨询费</w:t>
      </w:r>
      <w:r>
        <w:rPr>
          <w:rFonts w:ascii="宋体" w:hAnsi="宋体" w:cs="宋体" w:eastAsia="宋体"/>
          <w:spacing w:val="-103"/>
        </w:rPr>
        <w:t> </w:t>
      </w:r>
      <w:r>
        <w:rPr>
          <w:rFonts w:ascii="宋体" w:hAnsi="宋体" w:cs="宋体" w:eastAsia="宋体"/>
          <w:spacing w:val="-103"/>
        </w:rPr>
      </w:r>
      <w:r>
        <w:rPr>
          <w:rFonts w:ascii="宋体" w:hAnsi="宋体" w:cs="宋体" w:eastAsia="宋体"/>
        </w:rPr>
        <w:t>以及新型墙体材料专项基金。</w:t>
      </w:r>
    </w:p>
    <w:p>
      <w:pPr>
        <w:pStyle w:val="BodyText"/>
        <w:spacing w:line="408" w:lineRule="auto"/>
        <w:ind w:right="253" w:firstLine="559"/>
        <w:jc w:val="both"/>
        <w:rPr>
          <w:rFonts w:ascii="宋体" w:hAnsi="宋体" w:cs="宋体" w:eastAsia="宋体"/>
        </w:rPr>
      </w:pPr>
      <w:r>
        <w:rPr>
          <w:rFonts w:ascii="宋体" w:hAnsi="宋体" w:cs="宋体" w:eastAsia="宋体"/>
          <w:spacing w:val="2"/>
        </w:rPr>
        <w:t>资金成本根据被评估建设项目的建设规模核定合理的建设工期，选取</w:t>
      </w:r>
      <w:r>
        <w:rPr>
          <w:rFonts w:ascii="宋体" w:hAnsi="宋体" w:cs="宋体" w:eastAsia="宋体"/>
          <w:w w:val="100"/>
        </w:rPr>
        <w:t> </w:t>
      </w:r>
      <w:r>
        <w:rPr>
          <w:rFonts w:ascii="宋体" w:hAnsi="宋体" w:cs="宋体" w:eastAsia="宋体"/>
          <w:spacing w:val="2"/>
        </w:rPr>
        <w:t>评估基准日有效的相应期限的贷款利率，并假设建设资金均匀投入加以计</w:t>
      </w:r>
      <w:r>
        <w:rPr>
          <w:rFonts w:ascii="宋体" w:hAnsi="宋体" w:cs="宋体" w:eastAsia="宋体"/>
          <w:spacing w:val="-101"/>
        </w:rPr>
        <w:t> </w:t>
      </w:r>
      <w:r>
        <w:rPr>
          <w:rFonts w:ascii="宋体" w:hAnsi="宋体" w:cs="宋体" w:eastAsia="宋体"/>
          <w:spacing w:val="-101"/>
        </w:rPr>
      </w:r>
      <w:r>
        <w:rPr>
          <w:rFonts w:ascii="宋体" w:hAnsi="宋体" w:cs="宋体" w:eastAsia="宋体"/>
        </w:rPr>
        <w:t>算。</w:t>
      </w:r>
    </w:p>
    <w:p>
      <w:pPr>
        <w:spacing w:after="0" w:line="408" w:lineRule="auto"/>
        <w:jc w:val="both"/>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left="677" w:right="114"/>
        <w:jc w:val="left"/>
        <w:rPr>
          <w:rFonts w:ascii="宋体" w:hAnsi="宋体" w:cs="宋体" w:eastAsia="宋体"/>
        </w:rPr>
      </w:pPr>
      <w:r>
        <w:rPr>
          <w:rFonts w:ascii="宋体" w:hAnsi="宋体" w:cs="宋体" w:eastAsia="宋体"/>
        </w:rPr>
        <w:t>2.综合成新率的确定</w:t>
      </w:r>
      <w:r>
        <w:rPr>
          <w:rFonts w:ascii="宋体" w:hAnsi="宋体" w:cs="宋体" w:eastAsia="宋体"/>
          <w:w w:val="100"/>
        </w:rPr>
        <w:t> </w:t>
      </w:r>
      <w:r>
        <w:rPr>
          <w:rFonts w:ascii="宋体" w:hAnsi="宋体" w:cs="宋体" w:eastAsia="宋体"/>
        </w:rPr>
        <w:t>综合年限法和打分法两种结果，按以下公式加以确定：</w:t>
      </w:r>
      <w:r>
        <w:rPr>
          <w:rFonts w:ascii="宋体" w:hAnsi="宋体" w:cs="宋体" w:eastAsia="宋体"/>
          <w:w w:val="100"/>
        </w:rPr>
        <w:t> </w:t>
      </w:r>
      <w:r>
        <w:rPr>
          <w:rFonts w:ascii="宋体" w:hAnsi="宋体" w:cs="宋体" w:eastAsia="宋体"/>
          <w:spacing w:val="-2"/>
        </w:rPr>
        <w:t>综合成新率=打分法确定的成新率</w:t>
      </w:r>
      <w:r>
        <w:rPr>
          <w:rFonts w:ascii="Calibri" w:hAnsi="Calibri" w:cs="Calibri" w:eastAsia="Calibri"/>
          <w:spacing w:val="-2"/>
        </w:rPr>
        <w:t>×</w:t>
      </w:r>
      <w:r>
        <w:rPr>
          <w:rFonts w:ascii="宋体" w:hAnsi="宋体" w:cs="宋体" w:eastAsia="宋体"/>
          <w:spacing w:val="-2"/>
        </w:rPr>
        <w:t>60%+年限法确定的理论成新率</w:t>
      </w:r>
      <w:r>
        <w:rPr>
          <w:rFonts w:ascii="Calibri" w:hAnsi="Calibri" w:cs="Calibri" w:eastAsia="Calibri"/>
          <w:spacing w:val="-2"/>
        </w:rPr>
        <w:t>×</w:t>
      </w:r>
      <w:r>
        <w:rPr>
          <w:rFonts w:ascii="宋体" w:hAnsi="宋体" w:cs="宋体" w:eastAsia="宋体"/>
          <w:spacing w:val="-2"/>
        </w:rPr>
        <w:t>40%</w:t>
      </w:r>
    </w:p>
    <w:p>
      <w:pPr>
        <w:pStyle w:val="BodyText"/>
        <w:spacing w:line="349" w:lineRule="exact" w:before="0"/>
        <w:ind w:left="677" w:right="114"/>
        <w:jc w:val="left"/>
        <w:rPr>
          <w:rFonts w:ascii="宋体" w:hAnsi="宋体" w:cs="宋体" w:eastAsia="宋体"/>
        </w:rPr>
      </w:pPr>
      <w:r>
        <w:rPr>
          <w:rFonts w:ascii="宋体" w:hAnsi="宋体" w:cs="宋体" w:eastAsia="宋体"/>
        </w:rPr>
        <w:t>其中：</w:t>
      </w:r>
    </w:p>
    <w:p>
      <w:pPr>
        <w:spacing w:line="240" w:lineRule="auto" w:before="9"/>
        <w:rPr>
          <w:rFonts w:ascii="宋体" w:hAnsi="宋体" w:cs="宋体" w:eastAsia="宋体"/>
          <w:sz w:val="19"/>
          <w:szCs w:val="19"/>
        </w:rPr>
      </w:pPr>
    </w:p>
    <w:p>
      <w:pPr>
        <w:pStyle w:val="BodyText"/>
        <w:spacing w:line="372" w:lineRule="auto" w:before="0"/>
        <w:ind w:right="114" w:firstLine="559"/>
        <w:jc w:val="left"/>
        <w:rPr>
          <w:rFonts w:ascii="宋体" w:hAnsi="宋体" w:cs="宋体" w:eastAsia="宋体"/>
        </w:rPr>
      </w:pPr>
      <w:r>
        <w:rPr>
          <w:rFonts w:ascii="宋体" w:hAnsi="宋体" w:cs="宋体" w:eastAsia="宋体"/>
          <w:spacing w:val="-3"/>
        </w:rPr>
        <w:t>年限法成新率=房屋建筑物尚可使用年限</w:t>
      </w:r>
      <w:r>
        <w:rPr>
          <w:rFonts w:ascii="Calibri" w:hAnsi="Calibri" w:cs="Calibri" w:eastAsia="Calibri"/>
          <w:spacing w:val="-3"/>
        </w:rPr>
        <w:t>÷</w:t>
      </w:r>
      <w:r>
        <w:rPr>
          <w:rFonts w:ascii="宋体" w:hAnsi="宋体" w:cs="宋体" w:eastAsia="宋体"/>
          <w:spacing w:val="-3"/>
        </w:rPr>
        <w:t>（房屋建筑物已使用年限+房</w:t>
      </w:r>
      <w:r>
        <w:rPr>
          <w:rFonts w:ascii="宋体" w:hAnsi="宋体" w:cs="宋体" w:eastAsia="宋体"/>
          <w:w w:val="100"/>
        </w:rPr>
        <w:t> </w:t>
      </w:r>
      <w:r>
        <w:rPr>
          <w:rFonts w:ascii="宋体" w:hAnsi="宋体" w:cs="宋体" w:eastAsia="宋体"/>
        </w:rPr>
        <w:t>屋建筑物尚可使用年限）</w:t>
      </w:r>
      <w:r>
        <w:rPr>
          <w:rFonts w:ascii="Calibri" w:hAnsi="Calibri" w:cs="Calibri" w:eastAsia="Calibri"/>
        </w:rPr>
        <w:t>×</w:t>
      </w:r>
      <w:r>
        <w:rPr>
          <w:rFonts w:ascii="宋体" w:hAnsi="宋体" w:cs="宋体" w:eastAsia="宋体"/>
        </w:rPr>
        <w:t>100%</w:t>
      </w:r>
    </w:p>
    <w:p>
      <w:pPr>
        <w:pStyle w:val="BodyText"/>
        <w:spacing w:line="408" w:lineRule="auto" w:before="33"/>
        <w:ind w:right="114" w:firstLine="559"/>
        <w:jc w:val="left"/>
        <w:rPr>
          <w:rFonts w:ascii="宋体" w:hAnsi="宋体" w:cs="宋体" w:eastAsia="宋体"/>
        </w:rPr>
      </w:pPr>
      <w:r>
        <w:rPr>
          <w:rFonts w:ascii="宋体" w:hAnsi="宋体" w:cs="宋体" w:eastAsia="宋体"/>
          <w:spacing w:val="2"/>
        </w:rPr>
        <w:t>尚可使用年限，根据国家规定的房屋建筑物经济寿命年限，结合其使</w:t>
      </w:r>
      <w:r>
        <w:rPr>
          <w:rFonts w:ascii="宋体" w:hAnsi="宋体" w:cs="宋体" w:eastAsia="宋体"/>
          <w:w w:val="100"/>
        </w:rPr>
        <w:t> </w:t>
      </w:r>
      <w:r>
        <w:rPr>
          <w:rFonts w:ascii="宋体" w:hAnsi="宋体" w:cs="宋体" w:eastAsia="宋体"/>
        </w:rPr>
        <w:t>用维护状况加以确定。</w:t>
      </w:r>
    </w:p>
    <w:p>
      <w:pPr>
        <w:pStyle w:val="BodyText"/>
        <w:spacing w:line="408" w:lineRule="auto"/>
        <w:ind w:right="114" w:firstLine="559"/>
        <w:jc w:val="left"/>
        <w:rPr>
          <w:rFonts w:ascii="宋体" w:hAnsi="宋体" w:cs="宋体" w:eastAsia="宋体"/>
        </w:rPr>
      </w:pPr>
      <w:r>
        <w:rPr>
          <w:rFonts w:ascii="宋体" w:hAnsi="宋体" w:cs="宋体" w:eastAsia="宋体"/>
          <w:spacing w:val="2"/>
        </w:rPr>
        <w:t>打分法成新率，根据房屋建筑物成新率评分标准，结合对被评估房屋</w:t>
      </w:r>
      <w:r>
        <w:rPr>
          <w:rFonts w:ascii="宋体" w:hAnsi="宋体" w:cs="宋体" w:eastAsia="宋体"/>
          <w:w w:val="100"/>
        </w:rPr>
        <w:t> </w:t>
      </w:r>
      <w:r>
        <w:rPr>
          <w:rFonts w:ascii="宋体" w:hAnsi="宋体" w:cs="宋体" w:eastAsia="宋体"/>
        </w:rPr>
        <w:t>建筑物结构、装饰、设备（设施）现场勘查情况加以确定。</w:t>
      </w:r>
    </w:p>
    <w:p>
      <w:pPr>
        <w:pStyle w:val="BodyText"/>
        <w:spacing w:line="372" w:lineRule="auto"/>
        <w:ind w:right="114" w:firstLine="559"/>
        <w:jc w:val="left"/>
        <w:rPr>
          <w:rFonts w:ascii="宋体" w:hAnsi="宋体" w:cs="宋体" w:eastAsia="宋体"/>
        </w:rPr>
      </w:pPr>
      <w:r>
        <w:rPr>
          <w:rFonts w:ascii="宋体" w:hAnsi="宋体" w:cs="宋体" w:eastAsia="宋体"/>
          <w:spacing w:val="5"/>
        </w:rPr>
        <w:t>打分法成新率=结构部分成新得分</w:t>
      </w:r>
      <w:r>
        <w:rPr>
          <w:rFonts w:ascii="Calibri" w:hAnsi="Calibri" w:cs="Calibri" w:eastAsia="Calibri"/>
          <w:spacing w:val="5"/>
        </w:rPr>
        <w:t>×</w:t>
      </w:r>
      <w:r>
        <w:rPr>
          <w:rFonts w:ascii="宋体" w:hAnsi="宋体" w:cs="宋体" w:eastAsia="宋体"/>
          <w:spacing w:val="5"/>
        </w:rPr>
        <w:t>G+装修部分成新得分</w:t>
      </w:r>
      <w:r>
        <w:rPr>
          <w:rFonts w:ascii="Calibri" w:hAnsi="Calibri" w:cs="Calibri" w:eastAsia="Calibri"/>
          <w:spacing w:val="5"/>
        </w:rPr>
        <w:t>×</w:t>
      </w:r>
      <w:r>
        <w:rPr>
          <w:rFonts w:ascii="宋体" w:hAnsi="宋体" w:cs="宋体" w:eastAsia="宋体"/>
          <w:spacing w:val="5"/>
        </w:rPr>
        <w:t>S+设备（设</w:t>
      </w:r>
      <w:r>
        <w:rPr>
          <w:rFonts w:ascii="宋体" w:hAnsi="宋体" w:cs="宋体" w:eastAsia="宋体"/>
          <w:w w:val="100"/>
        </w:rPr>
        <w:t> </w:t>
      </w:r>
      <w:r>
        <w:rPr>
          <w:rFonts w:ascii="宋体" w:hAnsi="宋体" w:cs="宋体" w:eastAsia="宋体"/>
        </w:rPr>
        <w:t>施）部分成新得分</w:t>
      </w:r>
      <w:r>
        <w:rPr>
          <w:rFonts w:ascii="Calibri" w:hAnsi="Calibri" w:cs="Calibri" w:eastAsia="Calibri"/>
        </w:rPr>
        <w:t>×</w:t>
      </w:r>
      <w:r>
        <w:rPr>
          <w:rFonts w:ascii="宋体" w:hAnsi="宋体" w:cs="宋体" w:eastAsia="宋体"/>
        </w:rPr>
        <w:t>B</w:t>
      </w:r>
    </w:p>
    <w:p>
      <w:pPr>
        <w:pStyle w:val="BodyText"/>
        <w:spacing w:line="408" w:lineRule="auto" w:before="33"/>
        <w:ind w:left="677" w:right="114"/>
        <w:jc w:val="left"/>
        <w:rPr>
          <w:rFonts w:ascii="宋体" w:hAnsi="宋体" w:cs="宋体" w:eastAsia="宋体"/>
        </w:rPr>
      </w:pPr>
      <w:r>
        <w:rPr>
          <w:rFonts w:ascii="宋体" w:hAnsi="宋体" w:cs="宋体" w:eastAsia="宋体"/>
        </w:rPr>
        <w:t>G、S、B，分别是结构、装修和设备（设施）部分的造价权重。</w:t>
      </w:r>
      <w:r>
        <w:rPr>
          <w:rFonts w:ascii="宋体" w:hAnsi="宋体" w:cs="宋体" w:eastAsia="宋体"/>
          <w:w w:val="100"/>
        </w:rPr>
        <w:t> </w:t>
      </w:r>
      <w:r>
        <w:rPr>
          <w:rFonts w:ascii="宋体" w:hAnsi="宋体" w:cs="宋体" w:eastAsia="宋体"/>
          <w:spacing w:val="2"/>
        </w:rPr>
        <w:t>被评估房屋建筑物成新率的评分标准，根据国家和地方颁布的房屋完</w:t>
      </w:r>
    </w:p>
    <w:p>
      <w:pPr>
        <w:pStyle w:val="BodyText"/>
        <w:spacing w:line="408" w:lineRule="auto"/>
        <w:ind w:left="677" w:right="114" w:hanging="560"/>
        <w:jc w:val="left"/>
        <w:rPr>
          <w:rFonts w:ascii="宋体" w:hAnsi="宋体" w:cs="宋体" w:eastAsia="宋体"/>
        </w:rPr>
      </w:pPr>
      <w:r>
        <w:rPr>
          <w:rFonts w:ascii="宋体" w:hAnsi="宋体" w:cs="宋体" w:eastAsia="宋体"/>
          <w:spacing w:val="-3"/>
        </w:rPr>
        <w:t>损等级、新旧程度评定标准，结合相关房屋建筑物的设计、使用要求确定。</w:t>
      </w:r>
      <w:r>
        <w:rPr>
          <w:rFonts w:ascii="宋体" w:hAnsi="宋体" w:cs="宋体" w:eastAsia="宋体"/>
          <w:spacing w:val="-91"/>
        </w:rPr>
        <w:t> </w:t>
      </w:r>
      <w:r>
        <w:rPr>
          <w:rFonts w:ascii="宋体" w:hAnsi="宋体" w:cs="宋体" w:eastAsia="宋体"/>
          <w:spacing w:val="-91"/>
        </w:rPr>
      </w:r>
      <w:r>
        <w:rPr>
          <w:rFonts w:ascii="宋体" w:hAnsi="宋体" w:cs="宋体" w:eastAsia="宋体"/>
        </w:rPr>
        <w:t>3.估算过程</w:t>
      </w:r>
    </w:p>
    <w:p>
      <w:pPr>
        <w:pStyle w:val="BodyText"/>
        <w:spacing w:line="408" w:lineRule="auto"/>
        <w:ind w:left="677" w:right="114"/>
        <w:jc w:val="left"/>
        <w:rPr>
          <w:rFonts w:ascii="宋体" w:hAnsi="宋体" w:cs="宋体" w:eastAsia="宋体"/>
        </w:rPr>
      </w:pPr>
      <w:r>
        <w:rPr>
          <w:rFonts w:ascii="宋体" w:hAnsi="宋体" w:cs="宋体" w:eastAsia="宋体"/>
        </w:rPr>
        <w:t>（1）评估重置价的确定</w:t>
      </w:r>
      <w:r>
        <w:rPr>
          <w:rFonts w:ascii="宋体" w:hAnsi="宋体" w:cs="宋体" w:eastAsia="宋体"/>
          <w:w w:val="100"/>
        </w:rPr>
        <w:t> </w:t>
      </w:r>
      <w:r>
        <w:rPr>
          <w:rFonts w:ascii="宋体" w:hAnsi="宋体" w:cs="宋体" w:eastAsia="宋体"/>
          <w:spacing w:val="2"/>
        </w:rPr>
        <w:t>根据江苏省所规定的各类建筑取费及建筑期建设单位所支付的其他费</w:t>
      </w:r>
    </w:p>
    <w:p>
      <w:pPr>
        <w:pStyle w:val="BodyText"/>
        <w:spacing w:line="408" w:lineRule="auto"/>
        <w:ind w:left="677" w:right="114" w:hanging="560"/>
        <w:jc w:val="left"/>
        <w:rPr>
          <w:rFonts w:ascii="宋体" w:hAnsi="宋体" w:cs="宋体" w:eastAsia="宋体"/>
        </w:rPr>
      </w:pPr>
      <w:r>
        <w:rPr>
          <w:rFonts w:ascii="宋体" w:hAnsi="宋体" w:cs="宋体" w:eastAsia="宋体"/>
        </w:rPr>
        <w:t>用项目及标准，计算建筑物的重置全价。</w:t>
      </w:r>
      <w:r>
        <w:rPr>
          <w:rFonts w:ascii="宋体" w:hAnsi="宋体" w:cs="宋体" w:eastAsia="宋体"/>
          <w:w w:val="100"/>
        </w:rPr>
        <w:t> </w:t>
      </w:r>
      <w:r>
        <w:rPr>
          <w:rFonts w:ascii="宋体" w:hAnsi="宋体" w:cs="宋体" w:eastAsia="宋体"/>
          <w:spacing w:val="-2"/>
        </w:rPr>
        <w:t>评估重置价＝建筑安装工程造价+前期费用及其他费用+资金成本</w:t>
      </w:r>
    </w:p>
    <w:p>
      <w:pPr>
        <w:pStyle w:val="BodyText"/>
        <w:spacing w:line="408" w:lineRule="auto"/>
        <w:ind w:left="677" w:right="114"/>
        <w:jc w:val="left"/>
        <w:rPr>
          <w:rFonts w:ascii="宋体" w:hAnsi="宋体" w:cs="宋体" w:eastAsia="宋体"/>
        </w:rPr>
      </w:pPr>
      <w:r>
        <w:rPr>
          <w:rFonts w:ascii="宋体" w:hAnsi="宋体" w:cs="宋体" w:eastAsia="宋体"/>
        </w:rPr>
        <w:t>①建筑安装工程造价</w:t>
      </w:r>
      <w:r>
        <w:rPr>
          <w:rFonts w:ascii="宋体" w:hAnsi="宋体" w:cs="宋体" w:eastAsia="宋体"/>
          <w:w w:val="100"/>
        </w:rPr>
        <w:t> </w:t>
      </w:r>
      <w:r>
        <w:rPr>
          <w:rFonts w:ascii="宋体" w:hAnsi="宋体" w:cs="宋体" w:eastAsia="宋体"/>
          <w:spacing w:val="2"/>
        </w:rPr>
        <w:t>根据委估对象建筑物的结构类型和实际情况，参照《江苏省建筑与装</w:t>
      </w:r>
    </w:p>
    <w:p>
      <w:pPr>
        <w:spacing w:after="0" w:line="408" w:lineRule="auto"/>
        <w:jc w:val="left"/>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right="253"/>
        <w:jc w:val="both"/>
        <w:rPr>
          <w:rFonts w:ascii="宋体" w:hAnsi="宋体" w:cs="宋体" w:eastAsia="宋体"/>
        </w:rPr>
      </w:pPr>
      <w:r>
        <w:rPr>
          <w:rFonts w:ascii="宋体" w:hAnsi="宋体" w:cs="宋体" w:eastAsia="宋体"/>
        </w:rPr>
        <w:t>饰工程计价定额》(2014)及国家、行业、地方规定的技术标准规范进行测</w:t>
      </w:r>
      <w:r>
        <w:rPr>
          <w:rFonts w:ascii="宋体" w:hAnsi="宋体" w:cs="宋体" w:eastAsia="宋体"/>
          <w:spacing w:val="-42"/>
        </w:rPr>
        <w:t> </w:t>
      </w:r>
      <w:r>
        <w:rPr>
          <w:rFonts w:ascii="宋体" w:hAnsi="宋体" w:cs="宋体" w:eastAsia="宋体"/>
          <w:spacing w:val="-42"/>
        </w:rPr>
      </w:r>
      <w:r>
        <w:rPr>
          <w:rFonts w:ascii="宋体" w:hAnsi="宋体" w:cs="宋体" w:eastAsia="宋体"/>
          <w:spacing w:val="2"/>
        </w:rPr>
        <w:t>算，并参考近期同类型建筑物的市场信息价，结合评估人员掌握的资料，</w:t>
      </w:r>
      <w:r>
        <w:rPr>
          <w:rFonts w:ascii="宋体" w:hAnsi="宋体" w:cs="宋体" w:eastAsia="宋体"/>
          <w:spacing w:val="-101"/>
        </w:rPr>
        <w:t> </w:t>
      </w:r>
      <w:r>
        <w:rPr>
          <w:rFonts w:ascii="宋体" w:hAnsi="宋体" w:cs="宋体" w:eastAsia="宋体"/>
          <w:spacing w:val="-101"/>
        </w:rPr>
      </w:r>
      <w:r>
        <w:rPr>
          <w:rFonts w:ascii="宋体" w:hAnsi="宋体" w:cs="宋体" w:eastAsia="宋体"/>
        </w:rPr>
        <w:t>调整工程决算确定委估对象的建安工程造价。</w:t>
      </w:r>
    </w:p>
    <w:p>
      <w:pPr>
        <w:pStyle w:val="BodyText"/>
        <w:spacing w:line="240" w:lineRule="auto"/>
        <w:ind w:left="677" w:right="114"/>
        <w:jc w:val="left"/>
        <w:rPr>
          <w:rFonts w:ascii="宋体" w:hAnsi="宋体" w:cs="宋体" w:eastAsia="宋体"/>
        </w:rPr>
      </w:pPr>
      <w:r>
        <w:rPr>
          <w:rFonts w:ascii="宋体" w:hAnsi="宋体" w:cs="宋体" w:eastAsia="宋体"/>
        </w:rPr>
        <w:t>建筑安装工程造价＝土建工程造价+装饰工程造价+安装工程造价</w:t>
      </w:r>
    </w:p>
    <w:p>
      <w:pPr>
        <w:spacing w:line="240" w:lineRule="auto" w:before="9"/>
        <w:rPr>
          <w:rFonts w:ascii="宋体" w:hAnsi="宋体" w:cs="宋体" w:eastAsia="宋体"/>
          <w:sz w:val="19"/>
          <w:szCs w:val="19"/>
        </w:rPr>
      </w:pPr>
    </w:p>
    <w:p>
      <w:pPr>
        <w:pStyle w:val="BodyText"/>
        <w:spacing w:line="408" w:lineRule="auto" w:before="0"/>
        <w:ind w:left="677" w:right="114"/>
        <w:jc w:val="left"/>
        <w:rPr>
          <w:rFonts w:ascii="宋体" w:hAnsi="宋体" w:cs="宋体" w:eastAsia="宋体"/>
        </w:rPr>
      </w:pPr>
      <w:r>
        <w:rPr>
          <w:rFonts w:ascii="宋体" w:hAnsi="宋体" w:cs="宋体" w:eastAsia="宋体"/>
        </w:rPr>
        <w:t>②前期及其他费用</w:t>
      </w:r>
      <w:r>
        <w:rPr>
          <w:rFonts w:ascii="宋体" w:hAnsi="宋体" w:cs="宋体" w:eastAsia="宋体"/>
          <w:w w:val="100"/>
        </w:rPr>
        <w:t> </w:t>
      </w:r>
      <w:r>
        <w:rPr>
          <w:rFonts w:ascii="宋体" w:hAnsi="宋体" w:cs="宋体" w:eastAsia="宋体"/>
          <w:spacing w:val="-2"/>
        </w:rPr>
        <w:t>前期费及其他费用根据被评估建设项目应发生的，支付给工程承包商</w:t>
      </w:r>
    </w:p>
    <w:p>
      <w:pPr>
        <w:pStyle w:val="BodyText"/>
        <w:spacing w:line="408" w:lineRule="auto"/>
        <w:ind w:right="363"/>
        <w:jc w:val="both"/>
        <w:rPr>
          <w:rFonts w:ascii="宋体" w:hAnsi="宋体" w:cs="宋体" w:eastAsia="宋体"/>
        </w:rPr>
      </w:pPr>
      <w:r>
        <w:rPr>
          <w:rFonts w:ascii="宋体" w:hAnsi="宋体" w:cs="宋体" w:eastAsia="宋体"/>
          <w:spacing w:val="-2"/>
        </w:rPr>
        <w:t>以外的单位或政府部门的费用计算，主要包括建设单位管理费、勘察设计</w:t>
      </w:r>
      <w:r>
        <w:rPr>
          <w:rFonts w:ascii="宋体" w:hAnsi="宋体" w:cs="宋体" w:eastAsia="宋体"/>
          <w:spacing w:val="-95"/>
        </w:rPr>
        <w:t> </w:t>
      </w:r>
      <w:r>
        <w:rPr>
          <w:rFonts w:ascii="宋体" w:hAnsi="宋体" w:cs="宋体" w:eastAsia="宋体"/>
          <w:spacing w:val="-95"/>
        </w:rPr>
      </w:r>
      <w:r>
        <w:rPr>
          <w:rFonts w:ascii="宋体" w:hAnsi="宋体" w:cs="宋体" w:eastAsia="宋体"/>
          <w:spacing w:val="-2"/>
        </w:rPr>
        <w:t>费等、建筑工程监理费、建筑工程招标代理费、建筑项目环境影响咨询费</w:t>
      </w:r>
      <w:r>
        <w:rPr>
          <w:rFonts w:ascii="宋体" w:hAnsi="宋体" w:cs="宋体" w:eastAsia="宋体"/>
          <w:spacing w:val="-95"/>
        </w:rPr>
        <w:t> </w:t>
      </w:r>
      <w:r>
        <w:rPr>
          <w:rFonts w:ascii="宋体" w:hAnsi="宋体" w:cs="宋体" w:eastAsia="宋体"/>
          <w:spacing w:val="-95"/>
        </w:rPr>
      </w:r>
      <w:r>
        <w:rPr>
          <w:rFonts w:ascii="宋体" w:hAnsi="宋体" w:cs="宋体" w:eastAsia="宋体"/>
        </w:rPr>
        <w:t>以及新型墙体材料专项基金。</w:t>
      </w:r>
    </w:p>
    <w:p>
      <w:pPr>
        <w:pStyle w:val="BodyText"/>
        <w:spacing w:line="240" w:lineRule="auto"/>
        <w:ind w:left="677" w:right="114"/>
        <w:jc w:val="left"/>
        <w:rPr>
          <w:rFonts w:ascii="宋体" w:hAnsi="宋体" w:cs="宋体" w:eastAsia="宋体"/>
        </w:rPr>
      </w:pPr>
      <w:r>
        <w:rPr>
          <w:rFonts w:ascii="宋体" w:hAnsi="宋体" w:cs="宋体" w:eastAsia="宋体"/>
          <w:spacing w:val="-3"/>
        </w:rPr>
        <w:t>注：根据《中华人民共和国国家发展和改革委员会第 </w:t>
      </w:r>
      <w:r>
        <w:rPr>
          <w:rFonts w:ascii="宋体" w:hAnsi="宋体" w:cs="宋体" w:eastAsia="宋体"/>
        </w:rPr>
        <w:t>31</w:t>
      </w:r>
      <w:r>
        <w:rPr>
          <w:rFonts w:ascii="宋体" w:hAnsi="宋体" w:cs="宋体" w:eastAsia="宋体"/>
          <w:spacing w:val="-89"/>
        </w:rPr>
        <w:t> </w:t>
      </w:r>
      <w:r>
        <w:rPr>
          <w:rFonts w:ascii="宋体" w:hAnsi="宋体" w:cs="宋体" w:eastAsia="宋体"/>
          <w:spacing w:val="-4"/>
        </w:rPr>
        <w:t>号》文件，自</w:t>
      </w:r>
    </w:p>
    <w:p>
      <w:pPr>
        <w:spacing w:line="240" w:lineRule="auto" w:before="9"/>
        <w:rPr>
          <w:rFonts w:ascii="宋体" w:hAnsi="宋体" w:cs="宋体" w:eastAsia="宋体"/>
          <w:sz w:val="19"/>
          <w:szCs w:val="19"/>
        </w:rPr>
      </w:pPr>
    </w:p>
    <w:p>
      <w:pPr>
        <w:pStyle w:val="BodyText"/>
        <w:spacing w:line="408" w:lineRule="auto" w:before="0"/>
        <w:ind w:right="253"/>
        <w:jc w:val="both"/>
        <w:rPr>
          <w:rFonts w:ascii="宋体" w:hAnsi="宋体" w:cs="宋体" w:eastAsia="宋体"/>
        </w:rPr>
      </w:pPr>
      <w:r>
        <w:rPr>
          <w:rFonts w:ascii="宋体" w:hAnsi="宋体" w:cs="宋体" w:eastAsia="宋体"/>
        </w:rPr>
        <w:t>2016</w:t>
      </w:r>
      <w:r>
        <w:rPr>
          <w:rFonts w:ascii="宋体" w:hAnsi="宋体" w:cs="宋体" w:eastAsia="宋体"/>
          <w:spacing w:val="-67"/>
        </w:rPr>
        <w:t> </w:t>
      </w:r>
      <w:r>
        <w:rPr>
          <w:rFonts w:ascii="宋体" w:hAnsi="宋体" w:cs="宋体" w:eastAsia="宋体"/>
        </w:rPr>
        <w:t>年</w:t>
      </w:r>
      <w:r>
        <w:rPr>
          <w:rFonts w:ascii="宋体" w:hAnsi="宋体" w:cs="宋体" w:eastAsia="宋体"/>
          <w:spacing w:val="-68"/>
        </w:rPr>
        <w:t> </w:t>
      </w:r>
      <w:r>
        <w:rPr>
          <w:rFonts w:ascii="宋体" w:hAnsi="宋体" w:cs="宋体" w:eastAsia="宋体"/>
        </w:rPr>
        <w:t>1</w:t>
      </w:r>
      <w:r>
        <w:rPr>
          <w:rFonts w:ascii="宋体" w:hAnsi="宋体" w:cs="宋体" w:eastAsia="宋体"/>
          <w:spacing w:val="-67"/>
        </w:rPr>
        <w:t> </w:t>
      </w:r>
      <w:r>
        <w:rPr>
          <w:rFonts w:ascii="宋体" w:hAnsi="宋体" w:cs="宋体" w:eastAsia="宋体"/>
        </w:rPr>
        <w:t>月</w:t>
      </w:r>
      <w:r>
        <w:rPr>
          <w:rFonts w:ascii="宋体" w:hAnsi="宋体" w:cs="宋体" w:eastAsia="宋体"/>
          <w:spacing w:val="-66"/>
        </w:rPr>
        <w:t> </w:t>
      </w:r>
      <w:r>
        <w:rPr>
          <w:rFonts w:ascii="宋体" w:hAnsi="宋体" w:cs="宋体" w:eastAsia="宋体"/>
        </w:rPr>
        <w:t>1</w:t>
      </w:r>
      <w:r>
        <w:rPr>
          <w:rFonts w:ascii="宋体" w:hAnsi="宋体" w:cs="宋体" w:eastAsia="宋体"/>
          <w:spacing w:val="-69"/>
        </w:rPr>
        <w:t> </w:t>
      </w:r>
      <w:r>
        <w:rPr>
          <w:rFonts w:ascii="宋体" w:hAnsi="宋体" w:cs="宋体" w:eastAsia="宋体"/>
        </w:rPr>
        <w:t>日起，废止包括工程勘察设计费、造价咨询收费、工程监理</w:t>
      </w:r>
      <w:r>
        <w:rPr>
          <w:rFonts w:ascii="宋体" w:hAnsi="宋体" w:cs="宋体" w:eastAsia="宋体"/>
          <w:w w:val="100"/>
        </w:rPr>
        <w:t> </w:t>
      </w:r>
      <w:r>
        <w:rPr>
          <w:rFonts w:ascii="宋体" w:hAnsi="宋体" w:cs="宋体" w:eastAsia="宋体"/>
          <w:spacing w:val="2"/>
        </w:rPr>
        <w:t>收费、招投标代理收费等部颁发的规范性文件。本次前期费用的选取，是</w:t>
      </w:r>
      <w:r>
        <w:rPr>
          <w:rFonts w:ascii="宋体" w:hAnsi="宋体" w:cs="宋体" w:eastAsia="宋体"/>
          <w:spacing w:val="-101"/>
        </w:rPr>
        <w:t> </w:t>
      </w:r>
      <w:r>
        <w:rPr>
          <w:rFonts w:ascii="宋体" w:hAnsi="宋体" w:cs="宋体" w:eastAsia="宋体"/>
          <w:spacing w:val="-101"/>
        </w:rPr>
      </w:r>
      <w:r>
        <w:rPr>
          <w:rFonts w:ascii="宋体" w:hAnsi="宋体" w:cs="宋体" w:eastAsia="宋体"/>
          <w:spacing w:val="2"/>
        </w:rPr>
        <w:t>评估人员考虑被评估单位所在地区于评估基准日近期建设工程相关费用实</w:t>
      </w:r>
      <w:r>
        <w:rPr>
          <w:rFonts w:ascii="宋体" w:hAnsi="宋体" w:cs="宋体" w:eastAsia="宋体"/>
          <w:spacing w:val="-101"/>
        </w:rPr>
        <w:t> </w:t>
      </w:r>
      <w:r>
        <w:rPr>
          <w:rFonts w:ascii="宋体" w:hAnsi="宋体" w:cs="宋体" w:eastAsia="宋体"/>
          <w:spacing w:val="-101"/>
        </w:rPr>
      </w:r>
      <w:r>
        <w:rPr>
          <w:rFonts w:ascii="宋体" w:hAnsi="宋体" w:cs="宋体" w:eastAsia="宋体"/>
          <w:spacing w:val="2"/>
        </w:rPr>
        <w:t>际支出状况，参考了上述有关文件，根据企业的投资规模综合确定。根据</w:t>
      </w:r>
    </w:p>
    <w:p>
      <w:pPr>
        <w:pStyle w:val="BodyText"/>
        <w:spacing w:line="408" w:lineRule="auto"/>
        <w:ind w:right="255"/>
        <w:jc w:val="both"/>
        <w:rPr>
          <w:rFonts w:ascii="宋体" w:hAnsi="宋体" w:cs="宋体" w:eastAsia="宋体"/>
        </w:rPr>
      </w:pPr>
      <w:r>
        <w:rPr>
          <w:rFonts w:ascii="宋体" w:hAnsi="宋体" w:cs="宋体" w:eastAsia="宋体"/>
        </w:rPr>
        <w:t>《关于全面推开营业税改征增值税试点的通知》（财税【2016】36</w:t>
      </w:r>
      <w:r>
        <w:rPr>
          <w:rFonts w:ascii="宋体" w:hAnsi="宋体" w:cs="宋体" w:eastAsia="宋体"/>
          <w:spacing w:val="-58"/>
        </w:rPr>
        <w:t> </w:t>
      </w:r>
      <w:r>
        <w:rPr>
          <w:rFonts w:ascii="宋体" w:hAnsi="宋体" w:cs="宋体" w:eastAsia="宋体"/>
        </w:rPr>
        <w:t>号），</w:t>
      </w:r>
      <w:r>
        <w:rPr>
          <w:rFonts w:ascii="宋体" w:hAnsi="宋体" w:cs="宋体" w:eastAsia="宋体"/>
          <w:spacing w:val="-135"/>
        </w:rPr>
        <w:t> </w:t>
      </w:r>
      <w:r>
        <w:rPr>
          <w:rFonts w:ascii="宋体" w:hAnsi="宋体" w:cs="宋体" w:eastAsia="宋体"/>
          <w:spacing w:val="-135"/>
        </w:rPr>
      </w:r>
      <w:r>
        <w:rPr>
          <w:rFonts w:ascii="宋体" w:hAnsi="宋体" w:cs="宋体" w:eastAsia="宋体"/>
        </w:rPr>
        <w:t>前期及其他费用中除建设单位管理费外，其余费用的进项税可抵扣。</w:t>
      </w:r>
    </w:p>
    <w:p>
      <w:pPr>
        <w:pStyle w:val="BodyText"/>
        <w:spacing w:line="240" w:lineRule="auto"/>
        <w:ind w:left="677" w:right="114"/>
        <w:jc w:val="left"/>
        <w:rPr>
          <w:rFonts w:ascii="宋体" w:hAnsi="宋体" w:cs="宋体" w:eastAsia="宋体"/>
        </w:rPr>
      </w:pPr>
      <w:r>
        <w:rPr>
          <w:rFonts w:ascii="宋体" w:hAnsi="宋体" w:cs="宋体" w:eastAsia="宋体"/>
        </w:rPr>
        <w:t>前期及其他费用不含税价=工程建筑单价×前期费费率+其他费用</w:t>
      </w:r>
    </w:p>
    <w:p>
      <w:pPr>
        <w:spacing w:line="240" w:lineRule="auto" w:before="9"/>
        <w:rPr>
          <w:rFonts w:ascii="宋体" w:hAnsi="宋体" w:cs="宋体" w:eastAsia="宋体"/>
          <w:sz w:val="19"/>
          <w:szCs w:val="19"/>
        </w:rPr>
      </w:pPr>
    </w:p>
    <w:p>
      <w:pPr>
        <w:pStyle w:val="BodyText"/>
        <w:spacing w:line="240" w:lineRule="auto" w:before="0"/>
        <w:ind w:left="677" w:right="114"/>
        <w:jc w:val="left"/>
        <w:rPr>
          <w:rFonts w:ascii="宋体" w:hAnsi="宋体" w:cs="宋体" w:eastAsia="宋体"/>
        </w:rPr>
      </w:pPr>
      <w:r>
        <w:rPr>
          <w:rFonts w:ascii="宋体" w:hAnsi="宋体" w:cs="宋体" w:eastAsia="宋体"/>
        </w:rPr>
        <w:t>③资金成本</w:t>
      </w:r>
    </w:p>
    <w:p>
      <w:pPr>
        <w:spacing w:line="240" w:lineRule="auto" w:before="9"/>
        <w:rPr>
          <w:rFonts w:ascii="宋体" w:hAnsi="宋体" w:cs="宋体" w:eastAsia="宋体"/>
          <w:sz w:val="19"/>
          <w:szCs w:val="19"/>
        </w:rPr>
      </w:pPr>
    </w:p>
    <w:p>
      <w:pPr>
        <w:pStyle w:val="BodyText"/>
        <w:spacing w:line="408" w:lineRule="auto" w:before="0"/>
        <w:ind w:right="114" w:firstLine="559"/>
        <w:jc w:val="left"/>
        <w:rPr>
          <w:rFonts w:ascii="宋体" w:hAnsi="宋体" w:cs="宋体" w:eastAsia="宋体"/>
        </w:rPr>
      </w:pPr>
      <w:r>
        <w:rPr>
          <w:rFonts w:ascii="宋体" w:hAnsi="宋体" w:cs="宋体" w:eastAsia="宋体"/>
        </w:rPr>
        <w:t>考虑到企业合理的建设期为</w:t>
      </w:r>
      <w:r>
        <w:rPr>
          <w:rFonts w:ascii="宋体" w:hAnsi="宋体" w:cs="宋体" w:eastAsia="宋体"/>
          <w:spacing w:val="-60"/>
        </w:rPr>
        <w:t> </w:t>
      </w:r>
      <w:r>
        <w:rPr>
          <w:rFonts w:ascii="宋体" w:hAnsi="宋体" w:cs="宋体" w:eastAsia="宋体"/>
        </w:rPr>
        <w:t>1</w:t>
      </w:r>
      <w:r>
        <w:rPr>
          <w:rFonts w:ascii="宋体" w:hAnsi="宋体" w:cs="宋体" w:eastAsia="宋体"/>
          <w:spacing w:val="-59"/>
        </w:rPr>
        <w:t> </w:t>
      </w:r>
      <w:r>
        <w:rPr>
          <w:rFonts w:ascii="宋体" w:hAnsi="宋体" w:cs="宋体" w:eastAsia="宋体"/>
          <w:spacing w:val="-4"/>
        </w:rPr>
        <w:t>年，假设在建设期内建设资金均匀投入，</w:t>
      </w:r>
      <w:r>
        <w:rPr>
          <w:rFonts w:ascii="宋体" w:hAnsi="宋体" w:cs="宋体" w:eastAsia="宋体"/>
          <w:w w:val="100"/>
        </w:rPr>
        <w:t> </w:t>
      </w:r>
      <w:r>
        <w:rPr>
          <w:rFonts w:ascii="宋体" w:hAnsi="宋体" w:cs="宋体" w:eastAsia="宋体"/>
        </w:rPr>
        <w:t>贷款利率按</w:t>
      </w:r>
      <w:r>
        <w:rPr>
          <w:rFonts w:ascii="宋体" w:hAnsi="宋体" w:cs="宋体" w:eastAsia="宋体"/>
          <w:spacing w:val="-77"/>
        </w:rPr>
        <w:t> </w:t>
      </w:r>
      <w:r>
        <w:rPr>
          <w:rFonts w:ascii="宋体" w:hAnsi="宋体" w:cs="宋体" w:eastAsia="宋体"/>
        </w:rPr>
        <w:t>1</w:t>
      </w:r>
      <w:r>
        <w:rPr>
          <w:rFonts w:ascii="宋体" w:hAnsi="宋体" w:cs="宋体" w:eastAsia="宋体"/>
          <w:spacing w:val="-74"/>
        </w:rPr>
        <w:t> </w:t>
      </w:r>
      <w:r>
        <w:rPr>
          <w:rFonts w:ascii="宋体" w:hAnsi="宋体" w:cs="宋体" w:eastAsia="宋体"/>
        </w:rPr>
        <w:t>年期人民币贷款利率</w:t>
      </w:r>
      <w:r>
        <w:rPr>
          <w:rFonts w:ascii="宋体" w:hAnsi="宋体" w:cs="宋体" w:eastAsia="宋体"/>
          <w:spacing w:val="-75"/>
        </w:rPr>
        <w:t> </w:t>
      </w:r>
      <w:r>
        <w:rPr>
          <w:rFonts w:ascii="宋体" w:hAnsi="宋体" w:cs="宋体" w:eastAsia="宋体"/>
        </w:rPr>
        <w:t>4.35%计取资金成本：</w:t>
      </w:r>
    </w:p>
    <w:p>
      <w:pPr>
        <w:pStyle w:val="BodyText"/>
        <w:spacing w:line="408" w:lineRule="auto"/>
        <w:ind w:left="677" w:right="114"/>
        <w:jc w:val="left"/>
        <w:rPr>
          <w:rFonts w:ascii="宋体" w:hAnsi="宋体" w:cs="宋体" w:eastAsia="宋体"/>
        </w:rPr>
      </w:pPr>
      <w:r>
        <w:rPr>
          <w:rFonts w:ascii="宋体" w:hAnsi="宋体" w:cs="宋体" w:eastAsia="宋体"/>
        </w:rPr>
        <w:t>④重置单价</w:t>
      </w:r>
      <w:r>
        <w:rPr>
          <w:rFonts w:ascii="宋体" w:hAnsi="宋体" w:cs="宋体" w:eastAsia="宋体"/>
          <w:w w:val="100"/>
        </w:rPr>
        <w:t> </w:t>
      </w:r>
      <w:r>
        <w:rPr>
          <w:rFonts w:ascii="宋体" w:hAnsi="宋体" w:cs="宋体" w:eastAsia="宋体"/>
          <w:spacing w:val="-2"/>
        </w:rPr>
        <w:t>重置单价=建筑安装工程造价+前期费用及其他费用+资金成本</w:t>
      </w:r>
    </w:p>
    <w:p>
      <w:pPr>
        <w:spacing w:after="0" w:line="408" w:lineRule="auto"/>
        <w:jc w:val="left"/>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left="697" w:right="2349"/>
        <w:jc w:val="left"/>
        <w:rPr>
          <w:rFonts w:ascii="宋体" w:hAnsi="宋体" w:cs="宋体" w:eastAsia="宋体"/>
        </w:rPr>
      </w:pPr>
      <w:r>
        <w:rPr>
          <w:rFonts w:ascii="宋体" w:hAnsi="宋体" w:cs="宋体" w:eastAsia="宋体"/>
        </w:rPr>
        <w:t>（2）综合成新率的确定</w:t>
      </w:r>
      <w:r>
        <w:rPr>
          <w:rFonts w:ascii="宋体" w:hAnsi="宋体" w:cs="宋体" w:eastAsia="宋体"/>
          <w:w w:val="100"/>
        </w:rPr>
        <w:t> </w:t>
      </w:r>
      <w:r>
        <w:rPr>
          <w:rFonts w:ascii="宋体" w:hAnsi="宋体" w:cs="宋体" w:eastAsia="宋体"/>
        </w:rPr>
        <w:t>成新率按年限法和观察法综合确定。</w:t>
      </w:r>
      <w:r>
        <w:rPr>
          <w:rFonts w:ascii="宋体" w:hAnsi="宋体" w:cs="宋体" w:eastAsia="宋体"/>
          <w:w w:val="100"/>
        </w:rPr>
        <w:t> </w:t>
      </w:r>
      <w:r>
        <w:rPr>
          <w:rFonts w:ascii="宋体" w:hAnsi="宋体" w:cs="宋体" w:eastAsia="宋体"/>
        </w:rPr>
        <w:t>计算公式如下：</w:t>
      </w:r>
      <w:r>
        <w:rPr>
          <w:rFonts w:ascii="宋体" w:hAnsi="宋体" w:cs="宋体" w:eastAsia="宋体"/>
          <w:w w:val="100"/>
        </w:rPr>
        <w:t> </w:t>
      </w:r>
      <w:r>
        <w:rPr>
          <w:rFonts w:ascii="宋体" w:hAnsi="宋体" w:cs="宋体" w:eastAsia="宋体"/>
          <w:spacing w:val="-2"/>
        </w:rPr>
        <w:t>成新率=观察法成新率×60%+年限法成新率×40%</w:t>
      </w:r>
      <w:r>
        <w:rPr>
          <w:rFonts w:ascii="宋体" w:hAnsi="宋体" w:cs="宋体" w:eastAsia="宋体"/>
          <w:spacing w:val="-104"/>
        </w:rPr>
        <w:t> </w:t>
      </w:r>
      <w:r>
        <w:rPr>
          <w:rFonts w:ascii="宋体" w:hAnsi="宋体" w:cs="宋体" w:eastAsia="宋体"/>
          <w:spacing w:val="-104"/>
        </w:rPr>
      </w:r>
      <w:r>
        <w:rPr>
          <w:rFonts w:ascii="宋体" w:hAnsi="宋体" w:cs="宋体" w:eastAsia="宋体"/>
        </w:rPr>
        <w:t>观察法成新率</w:t>
      </w:r>
    </w:p>
    <w:p>
      <w:pPr>
        <w:pStyle w:val="BodyText"/>
        <w:spacing w:line="408" w:lineRule="auto"/>
        <w:ind w:left="138" w:right="0" w:firstLine="559"/>
        <w:jc w:val="left"/>
        <w:rPr>
          <w:rFonts w:ascii="宋体" w:hAnsi="宋体" w:cs="宋体" w:eastAsia="宋体"/>
        </w:rPr>
      </w:pPr>
      <w:r>
        <w:rPr>
          <w:rFonts w:ascii="宋体" w:hAnsi="宋体" w:cs="宋体" w:eastAsia="宋体"/>
          <w:spacing w:val="-3"/>
        </w:rPr>
        <w:t>经评估人员现场勘查，该房屋基础无不均匀下沉，承重构件基本完好，</w:t>
      </w:r>
      <w:r>
        <w:rPr>
          <w:rFonts w:ascii="宋体" w:hAnsi="宋体" w:cs="宋体" w:eastAsia="宋体"/>
          <w:w w:val="100"/>
        </w:rPr>
        <w:t> </w:t>
      </w:r>
      <w:r>
        <w:rPr>
          <w:rFonts w:ascii="宋体" w:hAnsi="宋体" w:cs="宋体" w:eastAsia="宋体"/>
          <w:spacing w:val="2"/>
        </w:rPr>
        <w:t>墙体有部分裂缝，屋面稍有受损，地面整体面层有略微损坏，门窗基本正</w:t>
      </w:r>
      <w:r>
        <w:rPr>
          <w:rFonts w:ascii="宋体" w:hAnsi="宋体" w:cs="宋体" w:eastAsia="宋体"/>
          <w:spacing w:val="-101"/>
        </w:rPr>
        <w:t> </w:t>
      </w:r>
      <w:r>
        <w:rPr>
          <w:rFonts w:ascii="宋体" w:hAnsi="宋体" w:cs="宋体" w:eastAsia="宋体"/>
          <w:spacing w:val="-101"/>
        </w:rPr>
      </w:r>
      <w:r>
        <w:rPr>
          <w:rFonts w:ascii="宋体" w:hAnsi="宋体" w:cs="宋体" w:eastAsia="宋体"/>
        </w:rPr>
        <w:t>常开关，内外墙粉刷层有脱落现象，内部装修简单。</w:t>
      </w:r>
    </w:p>
    <w:p>
      <w:pPr>
        <w:pStyle w:val="BodyText"/>
        <w:spacing w:line="240" w:lineRule="auto"/>
        <w:ind w:left="697" w:right="2349"/>
        <w:jc w:val="left"/>
        <w:rPr>
          <w:rFonts w:ascii="宋体" w:hAnsi="宋体" w:cs="宋体" w:eastAsia="宋体"/>
        </w:rPr>
      </w:pPr>
      <w:r>
        <w:rPr>
          <w:rFonts w:ascii="宋体" w:hAnsi="宋体" w:cs="宋体" w:eastAsia="宋体"/>
        </w:rPr>
        <w:t>4、成本法评估结果</w:t>
      </w:r>
    </w:p>
    <w:p>
      <w:pPr>
        <w:spacing w:line="240" w:lineRule="auto" w:before="8"/>
        <w:rPr>
          <w:rFonts w:ascii="宋体" w:hAnsi="宋体" w:cs="宋体" w:eastAsia="宋体"/>
          <w:sz w:val="18"/>
          <w:szCs w:val="18"/>
        </w:rPr>
      </w:pPr>
    </w:p>
    <w:p>
      <w:pPr>
        <w:spacing w:after="0" w:line="240" w:lineRule="auto"/>
        <w:rPr>
          <w:rFonts w:ascii="宋体" w:hAnsi="宋体" w:cs="宋体" w:eastAsia="宋体"/>
          <w:sz w:val="18"/>
          <w:szCs w:val="18"/>
        </w:rPr>
        <w:sectPr>
          <w:pgSz w:w="11910" w:h="16840"/>
          <w:pgMar w:header="878" w:footer="1196" w:top="1100" w:bottom="1380" w:left="1280" w:right="1160"/>
        </w:sectPr>
      </w:pPr>
    </w:p>
    <w:p>
      <w:pPr>
        <w:pStyle w:val="BodyText"/>
        <w:spacing w:line="240" w:lineRule="auto" w:before="14"/>
        <w:ind w:left="2572" w:right="0"/>
        <w:jc w:val="left"/>
        <w:rPr>
          <w:rFonts w:ascii="宋体" w:hAnsi="宋体" w:cs="宋体" w:eastAsia="宋体"/>
        </w:rPr>
      </w:pPr>
      <w:r>
        <w:rPr>
          <w:rFonts w:ascii="宋体" w:hAnsi="宋体" w:cs="宋体" w:eastAsia="宋体"/>
          <w:spacing w:val="-2"/>
        </w:rPr>
        <w:t>房屋建筑物评估结果明细表（成本法）</w:t>
      </w:r>
    </w:p>
    <w:p>
      <w:pPr>
        <w:spacing w:line="240" w:lineRule="auto" w:before="6"/>
        <w:rPr>
          <w:rFonts w:ascii="宋体" w:hAnsi="宋体" w:cs="宋体" w:eastAsia="宋体"/>
          <w:sz w:val="35"/>
          <w:szCs w:val="35"/>
        </w:rPr>
      </w:pPr>
      <w:r>
        <w:rPr/>
        <w:br w:type="column"/>
      </w:r>
      <w:r>
        <w:rPr>
          <w:rFonts w:ascii="宋体"/>
          <w:sz w:val="35"/>
        </w:rPr>
      </w:r>
    </w:p>
    <w:p>
      <w:pPr>
        <w:spacing w:before="0"/>
        <w:ind w:left="154" w:right="0" w:firstLine="0"/>
        <w:jc w:val="left"/>
        <w:rPr>
          <w:rFonts w:ascii="宋体" w:hAnsi="宋体" w:cs="宋体" w:eastAsia="宋体"/>
          <w:sz w:val="24"/>
          <w:szCs w:val="24"/>
        </w:rPr>
      </w:pPr>
      <w:r>
        <w:rPr>
          <w:rFonts w:ascii="宋体" w:hAnsi="宋体" w:cs="宋体" w:eastAsia="宋体"/>
          <w:sz w:val="24"/>
          <w:szCs w:val="24"/>
        </w:rPr>
        <w:t>单位：人民币元</w:t>
      </w:r>
    </w:p>
    <w:p>
      <w:pPr>
        <w:spacing w:after="0"/>
        <w:jc w:val="left"/>
        <w:rPr>
          <w:rFonts w:ascii="宋体" w:hAnsi="宋体" w:cs="宋体" w:eastAsia="宋体"/>
          <w:sz w:val="24"/>
          <w:szCs w:val="24"/>
        </w:rPr>
        <w:sectPr>
          <w:type w:val="continuous"/>
          <w:pgSz w:w="11910" w:h="16840"/>
          <w:pgMar w:top="1100" w:bottom="280" w:left="1280" w:right="1160"/>
          <w:cols w:num="2" w:equalWidth="0">
            <w:col w:w="7334" w:space="40"/>
            <w:col w:w="2096"/>
          </w:cols>
        </w:sectPr>
      </w:pPr>
    </w:p>
    <w:p>
      <w:pPr>
        <w:spacing w:line="240" w:lineRule="auto" w:before="5"/>
        <w:rPr>
          <w:rFonts w:ascii="宋体" w:hAnsi="宋体" w:cs="宋体" w:eastAsia="宋体"/>
          <w:sz w:val="19"/>
          <w:szCs w:val="19"/>
        </w:rPr>
      </w:pPr>
    </w:p>
    <w:tbl>
      <w:tblPr>
        <w:tblW w:w="0" w:type="auto"/>
        <w:jc w:val="left"/>
        <w:tblInd w:w="118" w:type="dxa"/>
        <w:tblLayout w:type="fixed"/>
        <w:tblCellMar>
          <w:top w:w="0" w:type="dxa"/>
          <w:left w:w="0" w:type="dxa"/>
          <w:bottom w:w="0" w:type="dxa"/>
          <w:right w:w="0" w:type="dxa"/>
        </w:tblCellMar>
        <w:tblLook w:val="01E0"/>
      </w:tblPr>
      <w:tblGrid>
        <w:gridCol w:w="560"/>
        <w:gridCol w:w="2396"/>
        <w:gridCol w:w="560"/>
        <w:gridCol w:w="560"/>
        <w:gridCol w:w="1084"/>
        <w:gridCol w:w="888"/>
        <w:gridCol w:w="1039"/>
        <w:gridCol w:w="888"/>
        <w:gridCol w:w="1085"/>
      </w:tblGrid>
      <w:tr>
        <w:trPr>
          <w:trHeight w:val="481" w:hRule="exact"/>
        </w:trPr>
        <w:tc>
          <w:tcPr>
            <w:tcW w:w="560"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34" w:right="0"/>
              <w:jc w:val="left"/>
              <w:rPr>
                <w:rFonts w:ascii="宋体" w:hAnsi="宋体" w:cs="宋体" w:eastAsia="宋体"/>
                <w:sz w:val="24"/>
                <w:szCs w:val="24"/>
              </w:rPr>
            </w:pPr>
            <w:r>
              <w:rPr>
                <w:rFonts w:ascii="宋体" w:hAnsi="宋体" w:cs="宋体" w:eastAsia="宋体"/>
                <w:sz w:val="24"/>
                <w:szCs w:val="24"/>
              </w:rPr>
              <w:t>序号</w:t>
            </w:r>
          </w:p>
        </w:tc>
        <w:tc>
          <w:tcPr>
            <w:tcW w:w="2396"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592" w:right="0"/>
              <w:jc w:val="left"/>
              <w:rPr>
                <w:rFonts w:ascii="宋体" w:hAnsi="宋体" w:cs="宋体" w:eastAsia="宋体"/>
                <w:sz w:val="24"/>
                <w:szCs w:val="24"/>
              </w:rPr>
            </w:pPr>
            <w:r>
              <w:rPr>
                <w:rFonts w:ascii="宋体" w:hAnsi="宋体" w:cs="宋体" w:eastAsia="宋体"/>
                <w:sz w:val="24"/>
                <w:szCs w:val="24"/>
              </w:rPr>
              <w:t>建筑物名称</w:t>
            </w:r>
          </w:p>
        </w:tc>
        <w:tc>
          <w:tcPr>
            <w:tcW w:w="560"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35" w:right="0"/>
              <w:jc w:val="left"/>
              <w:rPr>
                <w:rFonts w:ascii="宋体" w:hAnsi="宋体" w:cs="宋体" w:eastAsia="宋体"/>
                <w:sz w:val="24"/>
                <w:szCs w:val="24"/>
              </w:rPr>
            </w:pPr>
            <w:r>
              <w:rPr>
                <w:rFonts w:ascii="宋体" w:hAnsi="宋体" w:cs="宋体" w:eastAsia="宋体"/>
                <w:sz w:val="24"/>
                <w:szCs w:val="24"/>
              </w:rPr>
              <w:t>结构</w:t>
            </w:r>
          </w:p>
        </w:tc>
        <w:tc>
          <w:tcPr>
            <w:tcW w:w="560"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34" w:right="0"/>
              <w:jc w:val="left"/>
              <w:rPr>
                <w:rFonts w:ascii="宋体" w:hAnsi="宋体" w:cs="宋体" w:eastAsia="宋体"/>
                <w:sz w:val="24"/>
                <w:szCs w:val="24"/>
              </w:rPr>
            </w:pPr>
            <w:r>
              <w:rPr>
                <w:rFonts w:ascii="宋体" w:hAnsi="宋体" w:cs="宋体" w:eastAsia="宋体"/>
                <w:sz w:val="24"/>
                <w:szCs w:val="24"/>
              </w:rPr>
              <w:t>层数</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57" w:right="0"/>
              <w:jc w:val="left"/>
              <w:rPr>
                <w:rFonts w:ascii="宋体" w:hAnsi="宋体" w:cs="宋体" w:eastAsia="宋体"/>
                <w:sz w:val="24"/>
                <w:szCs w:val="24"/>
              </w:rPr>
            </w:pPr>
            <w:r>
              <w:rPr>
                <w:rFonts w:ascii="宋体" w:hAnsi="宋体" w:cs="宋体" w:eastAsia="宋体"/>
                <w:sz w:val="24"/>
                <w:szCs w:val="24"/>
              </w:rPr>
              <w:t>建筑面积</w:t>
            </w:r>
          </w:p>
        </w:tc>
        <w:tc>
          <w:tcPr>
            <w:tcW w:w="2815"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922" w:right="0"/>
              <w:jc w:val="left"/>
              <w:rPr>
                <w:rFonts w:ascii="宋体" w:hAnsi="宋体" w:cs="宋体" w:eastAsia="宋体"/>
                <w:sz w:val="24"/>
                <w:szCs w:val="24"/>
              </w:rPr>
            </w:pPr>
            <w:r>
              <w:rPr>
                <w:rFonts w:ascii="宋体" w:hAnsi="宋体" w:cs="宋体" w:eastAsia="宋体"/>
                <w:sz w:val="24"/>
                <w:szCs w:val="24"/>
              </w:rPr>
              <w:t>评估价值</w:t>
            </w:r>
          </w:p>
        </w:tc>
        <w:tc>
          <w:tcPr>
            <w:tcW w:w="1085"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296" w:right="0"/>
              <w:jc w:val="left"/>
              <w:rPr>
                <w:rFonts w:ascii="宋体" w:hAnsi="宋体" w:cs="宋体" w:eastAsia="宋体"/>
                <w:sz w:val="24"/>
                <w:szCs w:val="24"/>
              </w:rPr>
            </w:pPr>
            <w:r>
              <w:rPr>
                <w:rFonts w:ascii="宋体" w:hAnsi="宋体" w:cs="宋体" w:eastAsia="宋体"/>
                <w:sz w:val="24"/>
                <w:szCs w:val="24"/>
              </w:rPr>
              <w:t>备注</w:t>
            </w:r>
          </w:p>
        </w:tc>
      </w:tr>
      <w:tr>
        <w:trPr>
          <w:trHeight w:val="545" w:hRule="exact"/>
        </w:trPr>
        <w:tc>
          <w:tcPr>
            <w:tcW w:w="560" w:type="dxa"/>
            <w:vMerge/>
            <w:tcBorders>
              <w:left w:val="single" w:sz="4" w:space="0" w:color="000000"/>
              <w:bottom w:val="single" w:sz="4" w:space="0" w:color="000000"/>
              <w:right w:val="single" w:sz="4" w:space="0" w:color="000000"/>
            </w:tcBorders>
          </w:tcPr>
          <w:p>
            <w:pPr/>
          </w:p>
        </w:tc>
        <w:tc>
          <w:tcPr>
            <w:tcW w:w="2396" w:type="dxa"/>
            <w:vMerge/>
            <w:tcBorders>
              <w:left w:val="single" w:sz="4" w:space="0" w:color="000000"/>
              <w:bottom w:val="single" w:sz="4" w:space="0" w:color="000000"/>
              <w:right w:val="single" w:sz="4" w:space="0" w:color="000000"/>
            </w:tcBorders>
          </w:tcPr>
          <w:p>
            <w:pPr/>
          </w:p>
        </w:tc>
        <w:tc>
          <w:tcPr>
            <w:tcW w:w="560" w:type="dxa"/>
            <w:vMerge/>
            <w:tcBorders>
              <w:left w:val="single" w:sz="4" w:space="0" w:color="000000"/>
              <w:bottom w:val="single" w:sz="4" w:space="0" w:color="000000"/>
              <w:right w:val="single" w:sz="4" w:space="0" w:color="000000"/>
            </w:tcBorders>
          </w:tcPr>
          <w:p>
            <w:pPr/>
          </w:p>
        </w:tc>
        <w:tc>
          <w:tcPr>
            <w:tcW w:w="560" w:type="dxa"/>
            <w:vMerge/>
            <w:tcBorders>
              <w:left w:val="single" w:sz="4" w:space="0" w:color="000000"/>
              <w:bottom w:val="single" w:sz="4" w:space="0" w:color="000000"/>
              <w:right w:val="single" w:sz="4" w:space="0" w:color="000000"/>
            </w:tcBorders>
          </w:tcPr>
          <w:p>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right="0"/>
              <w:jc w:val="center"/>
              <w:rPr>
                <w:rFonts w:ascii="Times New Roman" w:hAnsi="Times New Roman" w:cs="Times New Roman" w:eastAsia="Times New Roman"/>
                <w:sz w:val="15"/>
                <w:szCs w:val="15"/>
              </w:rPr>
            </w:pPr>
            <w:r>
              <w:rPr>
                <w:rFonts w:ascii="Times New Roman"/>
                <w:position w:val="-7"/>
                <w:sz w:val="24"/>
              </w:rPr>
              <w:t>M</w:t>
            </w:r>
            <w:r>
              <w:rPr>
                <w:rFonts w:ascii="Times New Roman"/>
                <w:sz w:val="15"/>
              </w:rPr>
              <w:t>2</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00" w:right="0"/>
              <w:jc w:val="left"/>
              <w:rPr>
                <w:rFonts w:ascii="宋体" w:hAnsi="宋体" w:cs="宋体" w:eastAsia="宋体"/>
                <w:sz w:val="24"/>
                <w:szCs w:val="24"/>
              </w:rPr>
            </w:pPr>
            <w:r>
              <w:rPr>
                <w:rFonts w:ascii="宋体" w:hAnsi="宋体" w:cs="宋体" w:eastAsia="宋体"/>
                <w:sz w:val="24"/>
                <w:szCs w:val="24"/>
              </w:rPr>
              <w:t>原值</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56" w:right="0"/>
              <w:jc w:val="left"/>
              <w:rPr>
                <w:rFonts w:ascii="Times New Roman" w:hAnsi="Times New Roman" w:cs="Times New Roman" w:eastAsia="Times New Roman"/>
                <w:sz w:val="24"/>
                <w:szCs w:val="24"/>
              </w:rPr>
            </w:pPr>
            <w:r>
              <w:rPr>
                <w:rFonts w:ascii="宋体" w:hAnsi="宋体" w:cs="宋体" w:eastAsia="宋体"/>
                <w:sz w:val="24"/>
                <w:szCs w:val="24"/>
              </w:rPr>
              <w:t>成新率</w:t>
            </w:r>
            <w:r>
              <w:rPr>
                <w:rFonts w:ascii="Times New Roman" w:hAnsi="Times New Roman" w:cs="Times New Roman" w:eastAsia="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97" w:right="0"/>
              <w:jc w:val="left"/>
              <w:rPr>
                <w:rFonts w:ascii="宋体" w:hAnsi="宋体" w:cs="宋体" w:eastAsia="宋体"/>
                <w:sz w:val="24"/>
                <w:szCs w:val="24"/>
              </w:rPr>
            </w:pPr>
            <w:r>
              <w:rPr>
                <w:rFonts w:ascii="宋体" w:hAnsi="宋体" w:cs="宋体" w:eastAsia="宋体"/>
                <w:sz w:val="24"/>
                <w:szCs w:val="24"/>
              </w:rPr>
              <w:t>净值</w:t>
            </w:r>
          </w:p>
        </w:tc>
        <w:tc>
          <w:tcPr>
            <w:tcW w:w="1085" w:type="dxa"/>
            <w:vMerge/>
            <w:tcBorders>
              <w:left w:val="single" w:sz="4" w:space="0" w:color="000000"/>
              <w:bottom w:val="single" w:sz="4" w:space="0" w:color="000000"/>
              <w:right w:val="single" w:sz="4" w:space="0" w:color="000000"/>
            </w:tcBorders>
          </w:tcPr>
          <w:p>
            <w:pPr/>
          </w:p>
        </w:tc>
      </w:tr>
      <w:tr>
        <w:trPr>
          <w:trHeight w:val="414"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right="1"/>
              <w:jc w:val="center"/>
              <w:rPr>
                <w:rFonts w:ascii="Times New Roman" w:hAnsi="Times New Roman" w:cs="Times New Roman" w:eastAsia="Times New Roman"/>
                <w:sz w:val="24"/>
                <w:szCs w:val="24"/>
              </w:rPr>
            </w:pPr>
            <w:r>
              <w:rPr>
                <w:rFonts w:ascii="Times New Roman"/>
                <w:sz w:val="24"/>
              </w:rPr>
              <w:t>1</w:t>
            </w:r>
          </w:p>
        </w:tc>
        <w:tc>
          <w:tcPr>
            <w:tcW w:w="23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center"/>
              <w:rPr>
                <w:rFonts w:ascii="宋体" w:hAnsi="宋体" w:cs="宋体" w:eastAsia="宋体"/>
                <w:sz w:val="24"/>
                <w:szCs w:val="24"/>
              </w:rPr>
            </w:pPr>
            <w:r>
              <w:rPr>
                <w:rFonts w:ascii="宋体" w:hAnsi="宋体" w:cs="宋体" w:eastAsia="宋体"/>
                <w:sz w:val="24"/>
                <w:szCs w:val="24"/>
              </w:rPr>
              <w:t>配电房</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35" w:right="0"/>
              <w:jc w:val="left"/>
              <w:rPr>
                <w:rFonts w:ascii="宋体" w:hAnsi="宋体" w:cs="宋体" w:eastAsia="宋体"/>
                <w:sz w:val="24"/>
                <w:szCs w:val="24"/>
              </w:rPr>
            </w:pPr>
            <w:r>
              <w:rPr>
                <w:rFonts w:ascii="宋体" w:hAnsi="宋体" w:cs="宋体" w:eastAsia="宋体"/>
                <w:sz w:val="24"/>
                <w:szCs w:val="24"/>
              </w:rPr>
              <w:t>砖混</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1"/>
              <w:jc w:val="center"/>
              <w:rPr>
                <w:rFonts w:ascii="宋体" w:hAnsi="宋体" w:cs="宋体" w:eastAsia="宋体"/>
                <w:sz w:val="24"/>
                <w:szCs w:val="24"/>
              </w:rPr>
            </w:pPr>
            <w:r>
              <w:rPr>
                <w:rFonts w:ascii="宋体"/>
                <w:sz w:val="24"/>
              </w:rPr>
              <w:t>1</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66" w:right="0"/>
              <w:jc w:val="left"/>
              <w:rPr>
                <w:rFonts w:ascii="Times New Roman" w:hAnsi="Times New Roman" w:cs="Times New Roman" w:eastAsia="Times New Roman"/>
                <w:sz w:val="24"/>
                <w:szCs w:val="24"/>
              </w:rPr>
            </w:pPr>
            <w:r>
              <w:rPr>
                <w:rFonts w:ascii="Times New Roman"/>
                <w:sz w:val="24"/>
              </w:rPr>
              <w:t>25.58</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8" w:right="0"/>
              <w:jc w:val="left"/>
              <w:rPr>
                <w:rFonts w:ascii="Times New Roman" w:hAnsi="Times New Roman" w:cs="Times New Roman" w:eastAsia="Times New Roman"/>
                <w:sz w:val="24"/>
                <w:szCs w:val="24"/>
              </w:rPr>
            </w:pPr>
            <w:r>
              <w:rPr>
                <w:rFonts w:ascii="Times New Roman"/>
                <w:sz w:val="24"/>
              </w:rPr>
              <w:t>12,456</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96" w:right="0"/>
              <w:jc w:val="left"/>
              <w:rPr>
                <w:rFonts w:ascii="Times New Roman" w:hAnsi="Times New Roman" w:cs="Times New Roman" w:eastAsia="Times New Roman"/>
                <w:sz w:val="24"/>
                <w:szCs w:val="24"/>
              </w:rPr>
            </w:pPr>
            <w:r>
              <w:rPr>
                <w:rFonts w:ascii="Times New Roman"/>
                <w:sz w:val="24"/>
              </w:rPr>
              <w:t>30%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69" w:right="0"/>
              <w:jc w:val="left"/>
              <w:rPr>
                <w:rFonts w:ascii="Times New Roman" w:hAnsi="Times New Roman" w:cs="Times New Roman" w:eastAsia="Times New Roman"/>
                <w:sz w:val="24"/>
                <w:szCs w:val="24"/>
              </w:rPr>
            </w:pPr>
            <w:r>
              <w:rPr>
                <w:rFonts w:ascii="Times New Roman"/>
                <w:sz w:val="24"/>
              </w:rPr>
              <w:t>3,737</w:t>
            </w:r>
          </w:p>
        </w:tc>
        <w:tc>
          <w:tcPr>
            <w:tcW w:w="1085" w:type="dxa"/>
            <w:tcBorders>
              <w:top w:val="single" w:sz="4" w:space="0" w:color="000000"/>
              <w:left w:val="single" w:sz="4" w:space="0" w:color="000000"/>
              <w:bottom w:val="single" w:sz="4" w:space="0" w:color="000000"/>
              <w:right w:val="single" w:sz="4" w:space="0" w:color="000000"/>
            </w:tcBorders>
          </w:tcPr>
          <w:p>
            <w:pPr/>
          </w:p>
        </w:tc>
      </w:tr>
      <w:tr>
        <w:trPr>
          <w:trHeight w:val="414"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right="1"/>
              <w:jc w:val="center"/>
              <w:rPr>
                <w:rFonts w:ascii="Times New Roman" w:hAnsi="Times New Roman" w:cs="Times New Roman" w:eastAsia="Times New Roman"/>
                <w:sz w:val="24"/>
                <w:szCs w:val="24"/>
              </w:rPr>
            </w:pPr>
            <w:r>
              <w:rPr>
                <w:rFonts w:ascii="Times New Roman"/>
                <w:sz w:val="24"/>
              </w:rPr>
              <w:t>2</w:t>
            </w:r>
          </w:p>
        </w:tc>
        <w:tc>
          <w:tcPr>
            <w:tcW w:w="23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center"/>
              <w:rPr>
                <w:rFonts w:ascii="宋体" w:hAnsi="宋体" w:cs="宋体" w:eastAsia="宋体"/>
                <w:sz w:val="24"/>
                <w:szCs w:val="24"/>
              </w:rPr>
            </w:pPr>
            <w:r>
              <w:rPr>
                <w:rFonts w:ascii="宋体" w:hAnsi="宋体" w:cs="宋体" w:eastAsia="宋体"/>
                <w:sz w:val="24"/>
                <w:szCs w:val="24"/>
              </w:rPr>
              <w:t>大厂房</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left="35" w:right="0"/>
              <w:jc w:val="left"/>
              <w:rPr>
                <w:rFonts w:ascii="宋体" w:hAnsi="宋体" w:cs="宋体" w:eastAsia="宋体"/>
                <w:sz w:val="24"/>
                <w:szCs w:val="24"/>
              </w:rPr>
            </w:pPr>
            <w:r>
              <w:rPr>
                <w:rFonts w:ascii="宋体" w:hAnsi="宋体" w:cs="宋体" w:eastAsia="宋体"/>
                <w:sz w:val="24"/>
                <w:szCs w:val="24"/>
              </w:rPr>
              <w:t>简易</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1"/>
              <w:jc w:val="center"/>
              <w:rPr>
                <w:rFonts w:ascii="宋体" w:hAnsi="宋体" w:cs="宋体" w:eastAsia="宋体"/>
                <w:sz w:val="24"/>
                <w:szCs w:val="24"/>
              </w:rPr>
            </w:pPr>
            <w:r>
              <w:rPr>
                <w:rFonts w:ascii="宋体"/>
                <w:sz w:val="24"/>
              </w:rPr>
              <w:t>1</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17" w:right="0"/>
              <w:jc w:val="left"/>
              <w:rPr>
                <w:rFonts w:ascii="Times New Roman" w:hAnsi="Times New Roman" w:cs="Times New Roman" w:eastAsia="Times New Roman"/>
                <w:sz w:val="24"/>
                <w:szCs w:val="24"/>
              </w:rPr>
            </w:pPr>
            <w:r>
              <w:rPr>
                <w:rFonts w:ascii="Times New Roman"/>
                <w:sz w:val="24"/>
              </w:rPr>
              <w:t>1,150.00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48" w:right="0"/>
              <w:jc w:val="left"/>
              <w:rPr>
                <w:rFonts w:ascii="Times New Roman" w:hAnsi="Times New Roman" w:cs="Times New Roman" w:eastAsia="Times New Roman"/>
                <w:sz w:val="24"/>
                <w:szCs w:val="24"/>
              </w:rPr>
            </w:pPr>
            <w:r>
              <w:rPr>
                <w:rFonts w:ascii="Times New Roman"/>
                <w:sz w:val="24"/>
              </w:rPr>
              <w:t>290,950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296" w:right="0"/>
              <w:jc w:val="left"/>
              <w:rPr>
                <w:rFonts w:ascii="Times New Roman" w:hAnsi="Times New Roman" w:cs="Times New Roman" w:eastAsia="Times New Roman"/>
                <w:sz w:val="24"/>
                <w:szCs w:val="24"/>
              </w:rPr>
            </w:pPr>
            <w:r>
              <w:rPr>
                <w:rFonts w:ascii="Times New Roman"/>
                <w:sz w:val="24"/>
              </w:rPr>
              <w:t>30%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09" w:right="0"/>
              <w:jc w:val="left"/>
              <w:rPr>
                <w:rFonts w:ascii="Times New Roman" w:hAnsi="Times New Roman" w:cs="Times New Roman" w:eastAsia="Times New Roman"/>
                <w:sz w:val="24"/>
                <w:szCs w:val="24"/>
              </w:rPr>
            </w:pPr>
            <w:r>
              <w:rPr>
                <w:rFonts w:ascii="Times New Roman"/>
                <w:sz w:val="24"/>
              </w:rPr>
              <w:t>87,285</w:t>
            </w:r>
          </w:p>
        </w:tc>
        <w:tc>
          <w:tcPr>
            <w:tcW w:w="10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left="10" w:right="0"/>
              <w:jc w:val="left"/>
              <w:rPr>
                <w:rFonts w:ascii="宋体" w:hAnsi="宋体" w:cs="宋体" w:eastAsia="宋体"/>
                <w:sz w:val="24"/>
                <w:szCs w:val="24"/>
              </w:rPr>
            </w:pPr>
            <w:r>
              <w:rPr>
                <w:rFonts w:ascii="宋体" w:hAnsi="宋体" w:cs="宋体" w:eastAsia="宋体"/>
                <w:sz w:val="24"/>
                <w:szCs w:val="24"/>
              </w:rPr>
              <w:t>含养鱼池</w:t>
            </w:r>
          </w:p>
        </w:tc>
      </w:tr>
      <w:tr>
        <w:trPr>
          <w:trHeight w:val="414"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right="1"/>
              <w:jc w:val="center"/>
              <w:rPr>
                <w:rFonts w:ascii="Times New Roman" w:hAnsi="Times New Roman" w:cs="Times New Roman" w:eastAsia="Times New Roman"/>
                <w:sz w:val="24"/>
                <w:szCs w:val="24"/>
              </w:rPr>
            </w:pPr>
            <w:r>
              <w:rPr>
                <w:rFonts w:ascii="Times New Roman"/>
                <w:sz w:val="24"/>
              </w:rPr>
              <w:t>3</w:t>
            </w:r>
          </w:p>
        </w:tc>
        <w:tc>
          <w:tcPr>
            <w:tcW w:w="23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113" w:right="0"/>
              <w:jc w:val="left"/>
              <w:rPr>
                <w:rFonts w:ascii="宋体" w:hAnsi="宋体" w:cs="宋体" w:eastAsia="宋体"/>
                <w:sz w:val="24"/>
                <w:szCs w:val="24"/>
              </w:rPr>
            </w:pPr>
            <w:r>
              <w:rPr>
                <w:rFonts w:ascii="宋体" w:hAnsi="宋体" w:cs="宋体" w:eastAsia="宋体"/>
                <w:sz w:val="24"/>
                <w:szCs w:val="24"/>
              </w:rPr>
              <w:t>中厂房（单层部分）</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35" w:right="0"/>
              <w:jc w:val="left"/>
              <w:rPr>
                <w:rFonts w:ascii="宋体" w:hAnsi="宋体" w:cs="宋体" w:eastAsia="宋体"/>
                <w:sz w:val="24"/>
                <w:szCs w:val="24"/>
              </w:rPr>
            </w:pPr>
            <w:r>
              <w:rPr>
                <w:rFonts w:ascii="宋体" w:hAnsi="宋体" w:cs="宋体" w:eastAsia="宋体"/>
                <w:sz w:val="24"/>
                <w:szCs w:val="24"/>
              </w:rPr>
              <w:t>砖混</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1"/>
              <w:jc w:val="center"/>
              <w:rPr>
                <w:rFonts w:ascii="宋体" w:hAnsi="宋体" w:cs="宋体" w:eastAsia="宋体"/>
                <w:sz w:val="24"/>
                <w:szCs w:val="24"/>
              </w:rPr>
            </w:pPr>
            <w:r>
              <w:rPr>
                <w:rFonts w:ascii="宋体"/>
                <w:sz w:val="24"/>
              </w:rPr>
              <w:t>1</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66" w:right="0"/>
              <w:jc w:val="left"/>
              <w:rPr>
                <w:rFonts w:ascii="Times New Roman" w:hAnsi="Times New Roman" w:cs="Times New Roman" w:eastAsia="Times New Roman"/>
                <w:sz w:val="24"/>
                <w:szCs w:val="24"/>
              </w:rPr>
            </w:pPr>
            <w:r>
              <w:rPr>
                <w:rFonts w:ascii="Times New Roman"/>
                <w:sz w:val="24"/>
              </w:rPr>
              <w:t>73.60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8" w:right="0"/>
              <w:jc w:val="left"/>
              <w:rPr>
                <w:rFonts w:ascii="Times New Roman" w:hAnsi="Times New Roman" w:cs="Times New Roman" w:eastAsia="Times New Roman"/>
                <w:sz w:val="24"/>
                <w:szCs w:val="24"/>
              </w:rPr>
            </w:pPr>
            <w:r>
              <w:rPr>
                <w:rFonts w:ascii="Times New Roman"/>
                <w:sz w:val="24"/>
              </w:rPr>
              <w:t>35,843</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96" w:right="0"/>
              <w:jc w:val="left"/>
              <w:rPr>
                <w:rFonts w:ascii="Times New Roman" w:hAnsi="Times New Roman" w:cs="Times New Roman" w:eastAsia="Times New Roman"/>
                <w:sz w:val="24"/>
                <w:szCs w:val="24"/>
              </w:rPr>
            </w:pPr>
            <w:r>
              <w:rPr>
                <w:rFonts w:ascii="Times New Roman"/>
                <w:sz w:val="24"/>
              </w:rPr>
              <w:t>30%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9" w:right="0"/>
              <w:jc w:val="left"/>
              <w:rPr>
                <w:rFonts w:ascii="Times New Roman" w:hAnsi="Times New Roman" w:cs="Times New Roman" w:eastAsia="Times New Roman"/>
                <w:sz w:val="24"/>
                <w:szCs w:val="24"/>
              </w:rPr>
            </w:pPr>
            <w:r>
              <w:rPr>
                <w:rFonts w:ascii="Times New Roman"/>
                <w:sz w:val="24"/>
              </w:rPr>
              <w:t>10,753</w:t>
            </w:r>
          </w:p>
        </w:tc>
        <w:tc>
          <w:tcPr>
            <w:tcW w:w="1085" w:type="dxa"/>
            <w:tcBorders>
              <w:top w:val="single" w:sz="4" w:space="0" w:color="000000"/>
              <w:left w:val="single" w:sz="4" w:space="0" w:color="000000"/>
              <w:bottom w:val="single" w:sz="4" w:space="0" w:color="000000"/>
              <w:right w:val="single" w:sz="4" w:space="0" w:color="000000"/>
            </w:tcBorders>
          </w:tcPr>
          <w:p>
            <w:pPr/>
          </w:p>
        </w:tc>
      </w:tr>
      <w:tr>
        <w:trPr>
          <w:trHeight w:val="414"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right="1"/>
              <w:jc w:val="center"/>
              <w:rPr>
                <w:rFonts w:ascii="Times New Roman" w:hAnsi="Times New Roman" w:cs="Times New Roman" w:eastAsia="Times New Roman"/>
                <w:sz w:val="24"/>
                <w:szCs w:val="24"/>
              </w:rPr>
            </w:pPr>
            <w:r>
              <w:rPr>
                <w:rFonts w:ascii="Times New Roman"/>
                <w:sz w:val="24"/>
              </w:rPr>
              <w:t>4</w:t>
            </w:r>
          </w:p>
        </w:tc>
        <w:tc>
          <w:tcPr>
            <w:tcW w:w="23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left="113" w:right="0"/>
              <w:jc w:val="left"/>
              <w:rPr>
                <w:rFonts w:ascii="宋体" w:hAnsi="宋体" w:cs="宋体" w:eastAsia="宋体"/>
                <w:sz w:val="24"/>
                <w:szCs w:val="24"/>
              </w:rPr>
            </w:pPr>
            <w:r>
              <w:rPr>
                <w:rFonts w:ascii="宋体" w:hAnsi="宋体" w:cs="宋体" w:eastAsia="宋体"/>
                <w:sz w:val="24"/>
                <w:szCs w:val="24"/>
              </w:rPr>
              <w:t>中厂房（双层部分）</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left="35" w:right="0"/>
              <w:jc w:val="left"/>
              <w:rPr>
                <w:rFonts w:ascii="宋体" w:hAnsi="宋体" w:cs="宋体" w:eastAsia="宋体"/>
                <w:sz w:val="24"/>
                <w:szCs w:val="24"/>
              </w:rPr>
            </w:pPr>
            <w:r>
              <w:rPr>
                <w:rFonts w:ascii="宋体" w:hAnsi="宋体" w:cs="宋体" w:eastAsia="宋体"/>
                <w:sz w:val="24"/>
                <w:szCs w:val="24"/>
              </w:rPr>
              <w:t>砖混</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1"/>
              <w:jc w:val="center"/>
              <w:rPr>
                <w:rFonts w:ascii="宋体" w:hAnsi="宋体" w:cs="宋体" w:eastAsia="宋体"/>
                <w:sz w:val="24"/>
                <w:szCs w:val="24"/>
              </w:rPr>
            </w:pPr>
            <w:r>
              <w:rPr>
                <w:rFonts w:ascii="宋体"/>
                <w:sz w:val="24"/>
              </w:rPr>
              <w:t>1</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266" w:right="0"/>
              <w:jc w:val="left"/>
              <w:rPr>
                <w:rFonts w:ascii="Times New Roman" w:hAnsi="Times New Roman" w:cs="Times New Roman" w:eastAsia="Times New Roman"/>
                <w:sz w:val="24"/>
                <w:szCs w:val="24"/>
              </w:rPr>
            </w:pPr>
            <w:r>
              <w:rPr>
                <w:rFonts w:ascii="Times New Roman"/>
                <w:sz w:val="24"/>
              </w:rPr>
              <w:t>73.60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08" w:right="0"/>
              <w:jc w:val="left"/>
              <w:rPr>
                <w:rFonts w:ascii="Times New Roman" w:hAnsi="Times New Roman" w:cs="Times New Roman" w:eastAsia="Times New Roman"/>
                <w:sz w:val="24"/>
                <w:szCs w:val="24"/>
              </w:rPr>
            </w:pPr>
            <w:r>
              <w:rPr>
                <w:rFonts w:ascii="Times New Roman"/>
                <w:sz w:val="24"/>
              </w:rPr>
              <w:t>46,368</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296" w:right="0"/>
              <w:jc w:val="left"/>
              <w:rPr>
                <w:rFonts w:ascii="Times New Roman" w:hAnsi="Times New Roman" w:cs="Times New Roman" w:eastAsia="Times New Roman"/>
                <w:sz w:val="24"/>
                <w:szCs w:val="24"/>
              </w:rPr>
            </w:pPr>
            <w:r>
              <w:rPr>
                <w:rFonts w:ascii="Times New Roman"/>
                <w:sz w:val="24"/>
              </w:rPr>
              <w:t>30%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09" w:right="0"/>
              <w:jc w:val="left"/>
              <w:rPr>
                <w:rFonts w:ascii="Times New Roman" w:hAnsi="Times New Roman" w:cs="Times New Roman" w:eastAsia="Times New Roman"/>
                <w:sz w:val="24"/>
                <w:szCs w:val="24"/>
              </w:rPr>
            </w:pPr>
            <w:r>
              <w:rPr>
                <w:rFonts w:ascii="Times New Roman"/>
                <w:sz w:val="24"/>
              </w:rPr>
              <w:t>13,910</w:t>
            </w:r>
          </w:p>
        </w:tc>
        <w:tc>
          <w:tcPr>
            <w:tcW w:w="1085" w:type="dxa"/>
            <w:tcBorders>
              <w:top w:val="single" w:sz="4" w:space="0" w:color="000000"/>
              <w:left w:val="single" w:sz="4" w:space="0" w:color="000000"/>
              <w:bottom w:val="single" w:sz="4" w:space="0" w:color="000000"/>
              <w:right w:val="single" w:sz="4" w:space="0" w:color="000000"/>
            </w:tcBorders>
          </w:tcPr>
          <w:p>
            <w:pPr/>
          </w:p>
        </w:tc>
      </w:tr>
      <w:tr>
        <w:trPr>
          <w:trHeight w:val="414"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right="1"/>
              <w:jc w:val="center"/>
              <w:rPr>
                <w:rFonts w:ascii="Times New Roman" w:hAnsi="Times New Roman" w:cs="Times New Roman" w:eastAsia="Times New Roman"/>
                <w:sz w:val="24"/>
                <w:szCs w:val="24"/>
              </w:rPr>
            </w:pPr>
            <w:r>
              <w:rPr>
                <w:rFonts w:ascii="Times New Roman"/>
                <w:sz w:val="24"/>
              </w:rPr>
              <w:t>5</w:t>
            </w:r>
          </w:p>
        </w:tc>
        <w:tc>
          <w:tcPr>
            <w:tcW w:w="23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center"/>
              <w:rPr>
                <w:rFonts w:ascii="宋体" w:hAnsi="宋体" w:cs="宋体" w:eastAsia="宋体"/>
                <w:sz w:val="24"/>
                <w:szCs w:val="24"/>
              </w:rPr>
            </w:pPr>
            <w:r>
              <w:rPr>
                <w:rFonts w:ascii="宋体" w:hAnsi="宋体" w:cs="宋体" w:eastAsia="宋体"/>
                <w:sz w:val="24"/>
                <w:szCs w:val="24"/>
              </w:rPr>
              <w:t>小厂房</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35" w:right="0"/>
              <w:jc w:val="left"/>
              <w:rPr>
                <w:rFonts w:ascii="宋体" w:hAnsi="宋体" w:cs="宋体" w:eastAsia="宋体"/>
                <w:sz w:val="24"/>
                <w:szCs w:val="24"/>
              </w:rPr>
            </w:pPr>
            <w:r>
              <w:rPr>
                <w:rFonts w:ascii="宋体" w:hAnsi="宋体" w:cs="宋体" w:eastAsia="宋体"/>
                <w:sz w:val="24"/>
                <w:szCs w:val="24"/>
              </w:rPr>
              <w:t>砖混</w:t>
            </w:r>
          </w:p>
        </w:tc>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1"/>
              <w:jc w:val="center"/>
              <w:rPr>
                <w:rFonts w:ascii="宋体" w:hAnsi="宋体" w:cs="宋体" w:eastAsia="宋体"/>
                <w:sz w:val="24"/>
                <w:szCs w:val="24"/>
              </w:rPr>
            </w:pPr>
            <w:r>
              <w:rPr>
                <w:rFonts w:ascii="宋体"/>
                <w:sz w:val="24"/>
              </w:rPr>
              <w:t>1</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66" w:right="0"/>
              <w:jc w:val="left"/>
              <w:rPr>
                <w:rFonts w:ascii="Times New Roman" w:hAnsi="Times New Roman" w:cs="Times New Roman" w:eastAsia="Times New Roman"/>
                <w:sz w:val="24"/>
                <w:szCs w:val="24"/>
              </w:rPr>
            </w:pPr>
            <w:r>
              <w:rPr>
                <w:rFonts w:ascii="Times New Roman"/>
                <w:sz w:val="24"/>
              </w:rPr>
              <w:t>59.15</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8" w:right="0"/>
              <w:jc w:val="left"/>
              <w:rPr>
                <w:rFonts w:ascii="Times New Roman" w:hAnsi="Times New Roman" w:cs="Times New Roman" w:eastAsia="Times New Roman"/>
                <w:sz w:val="24"/>
                <w:szCs w:val="24"/>
              </w:rPr>
            </w:pPr>
            <w:r>
              <w:rPr>
                <w:rFonts w:ascii="Times New Roman"/>
                <w:sz w:val="24"/>
              </w:rPr>
              <w:t>28,806</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296" w:right="0"/>
              <w:jc w:val="left"/>
              <w:rPr>
                <w:rFonts w:ascii="Times New Roman" w:hAnsi="Times New Roman" w:cs="Times New Roman" w:eastAsia="Times New Roman"/>
                <w:sz w:val="24"/>
                <w:szCs w:val="24"/>
              </w:rPr>
            </w:pPr>
            <w:r>
              <w:rPr>
                <w:rFonts w:ascii="Times New Roman"/>
                <w:sz w:val="24"/>
              </w:rPr>
              <w:t>30%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69" w:right="0"/>
              <w:jc w:val="left"/>
              <w:rPr>
                <w:rFonts w:ascii="Times New Roman" w:hAnsi="Times New Roman" w:cs="Times New Roman" w:eastAsia="Times New Roman"/>
                <w:sz w:val="24"/>
                <w:szCs w:val="24"/>
              </w:rPr>
            </w:pPr>
            <w:r>
              <w:rPr>
                <w:rFonts w:ascii="Times New Roman"/>
                <w:sz w:val="24"/>
              </w:rPr>
              <w:t>8,642</w:t>
            </w:r>
          </w:p>
        </w:tc>
        <w:tc>
          <w:tcPr>
            <w:tcW w:w="1085" w:type="dxa"/>
            <w:tcBorders>
              <w:top w:val="single" w:sz="4" w:space="0" w:color="000000"/>
              <w:left w:val="single" w:sz="4" w:space="0" w:color="000000"/>
              <w:bottom w:val="single" w:sz="4" w:space="0" w:color="000000"/>
              <w:right w:val="single" w:sz="4" w:space="0" w:color="000000"/>
            </w:tcBorders>
          </w:tcPr>
          <w:p>
            <w:pPr/>
          </w:p>
        </w:tc>
      </w:tr>
      <w:tr>
        <w:trPr>
          <w:trHeight w:val="425" w:hRule="exact"/>
        </w:trPr>
        <w:tc>
          <w:tcPr>
            <w:tcW w:w="2956" w:type="dxa"/>
            <w:gridSpan w:val="2"/>
            <w:tcBorders>
              <w:top w:val="single" w:sz="4" w:space="0" w:color="000000"/>
              <w:left w:val="single" w:sz="4" w:space="0" w:color="000000"/>
              <w:bottom w:val="single" w:sz="4" w:space="0" w:color="000000"/>
              <w:right w:val="single" w:sz="4" w:space="0" w:color="000000"/>
            </w:tcBorders>
          </w:tcPr>
          <w:p>
            <w:pPr>
              <w:pStyle w:val="TableParagraph"/>
              <w:tabs>
                <w:tab w:pos="719" w:val="left" w:leader="none"/>
              </w:tabs>
              <w:spacing w:line="240" w:lineRule="auto" w:before="13"/>
              <w:ind w:right="1"/>
              <w:jc w:val="center"/>
              <w:rPr>
                <w:rFonts w:ascii="宋体" w:hAnsi="宋体" w:cs="宋体" w:eastAsia="宋体"/>
                <w:sz w:val="24"/>
                <w:szCs w:val="24"/>
              </w:rPr>
            </w:pPr>
            <w:r>
              <w:rPr>
                <w:rFonts w:ascii="宋体" w:hAnsi="宋体" w:cs="宋体" w:eastAsia="宋体"/>
                <w:b/>
                <w:bCs/>
                <w:w w:val="95"/>
                <w:sz w:val="24"/>
                <w:szCs w:val="24"/>
              </w:rPr>
              <w:t>合</w:t>
              <w:tab/>
            </w:r>
            <w:r>
              <w:rPr>
                <w:rFonts w:ascii="宋体" w:hAnsi="宋体" w:cs="宋体" w:eastAsia="宋体"/>
                <w:b/>
                <w:bCs/>
                <w:sz w:val="24"/>
                <w:szCs w:val="24"/>
              </w:rPr>
              <w:t>计</w:t>
            </w:r>
            <w:r>
              <w:rPr>
                <w:rFonts w:ascii="宋体" w:hAnsi="宋体" w:cs="宋体" w:eastAsia="宋体"/>
                <w:sz w:val="24"/>
                <w:szCs w:val="24"/>
              </w:rPr>
            </w:r>
          </w:p>
        </w:tc>
        <w:tc>
          <w:tcPr>
            <w:tcW w:w="560" w:type="dxa"/>
            <w:tcBorders>
              <w:top w:val="single" w:sz="4" w:space="0" w:color="000000"/>
              <w:left w:val="single" w:sz="4" w:space="0" w:color="000000"/>
              <w:bottom w:val="single" w:sz="4" w:space="0" w:color="000000"/>
              <w:right w:val="single" w:sz="4" w:space="0" w:color="000000"/>
            </w:tcBorders>
          </w:tcPr>
          <w:p>
            <w:pPr/>
          </w:p>
        </w:tc>
        <w:tc>
          <w:tcPr>
            <w:tcW w:w="560" w:type="dxa"/>
            <w:tcBorders>
              <w:top w:val="single" w:sz="4" w:space="0" w:color="000000"/>
              <w:left w:val="single" w:sz="4" w:space="0" w:color="000000"/>
              <w:bottom w:val="single" w:sz="4" w:space="0" w:color="000000"/>
              <w:right w:val="single" w:sz="4" w:space="0" w:color="000000"/>
            </w:tcBorders>
          </w:tcPr>
          <w:p>
            <w:pP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17" w:right="0"/>
              <w:jc w:val="left"/>
              <w:rPr>
                <w:rFonts w:ascii="Times New Roman" w:hAnsi="Times New Roman" w:cs="Times New Roman" w:eastAsia="Times New Roman"/>
                <w:sz w:val="24"/>
                <w:szCs w:val="24"/>
              </w:rPr>
            </w:pPr>
            <w:r>
              <w:rPr>
                <w:rFonts w:ascii="Times New Roman"/>
                <w:b/>
                <w:sz w:val="24"/>
              </w:rPr>
              <w:t>1,381.93</w:t>
            </w:r>
            <w:r>
              <w:rPr>
                <w:rFonts w:ascii="Times New Roman"/>
                <w:sz w:val="24"/>
              </w:rPr>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48" w:right="0"/>
              <w:jc w:val="left"/>
              <w:rPr>
                <w:rFonts w:ascii="Times New Roman" w:hAnsi="Times New Roman" w:cs="Times New Roman" w:eastAsia="Times New Roman"/>
                <w:sz w:val="24"/>
                <w:szCs w:val="24"/>
              </w:rPr>
            </w:pPr>
            <w:r>
              <w:rPr>
                <w:rFonts w:ascii="Times New Roman"/>
                <w:b/>
                <w:sz w:val="24"/>
              </w:rPr>
              <w:t>414,424</w:t>
            </w:r>
            <w:r>
              <w:rPr>
                <w:rFonts w:ascii="Times New Roman"/>
                <w:sz w:val="24"/>
              </w:rPr>
            </w:r>
          </w:p>
        </w:tc>
        <w:tc>
          <w:tcPr>
            <w:tcW w:w="1039" w:type="dxa"/>
            <w:tcBorders>
              <w:top w:val="single" w:sz="4" w:space="0" w:color="000000"/>
              <w:left w:val="single" w:sz="4" w:space="0" w:color="000000"/>
              <w:bottom w:val="single" w:sz="4" w:space="0" w:color="000000"/>
              <w:right w:val="single" w:sz="4" w:space="0" w:color="000000"/>
            </w:tcBorders>
          </w:tcPr>
          <w:p>
            <w:pP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49" w:right="0"/>
              <w:jc w:val="left"/>
              <w:rPr>
                <w:rFonts w:ascii="Times New Roman" w:hAnsi="Times New Roman" w:cs="Times New Roman" w:eastAsia="Times New Roman"/>
                <w:sz w:val="24"/>
                <w:szCs w:val="24"/>
              </w:rPr>
            </w:pPr>
            <w:r>
              <w:rPr>
                <w:rFonts w:ascii="Times New Roman"/>
                <w:b/>
                <w:sz w:val="24"/>
              </w:rPr>
              <w:t>124,327</w:t>
            </w:r>
            <w:r>
              <w:rPr>
                <w:rFonts w:ascii="Times New Roman"/>
                <w:sz w:val="24"/>
              </w:rPr>
            </w:r>
          </w:p>
        </w:tc>
        <w:tc>
          <w:tcPr>
            <w:tcW w:w="1085"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pStyle w:val="BodyText"/>
        <w:tabs>
          <w:tab w:pos="978" w:val="left" w:leader="none"/>
        </w:tabs>
        <w:spacing w:line="388" w:lineRule="auto" w:before="187"/>
        <w:ind w:left="697" w:right="6944" w:hanging="140"/>
        <w:jc w:val="left"/>
        <w:rPr>
          <w:rFonts w:ascii="宋体" w:hAnsi="宋体" w:cs="宋体" w:eastAsia="宋体"/>
        </w:rPr>
      </w:pPr>
      <w:r>
        <w:rPr>
          <w:rFonts w:ascii="Wingdings" w:hAnsi="Wingdings" w:cs="Wingdings" w:eastAsia="Wingdings"/>
        </w:rPr>
        <w:t></w:t>
      </w:r>
      <w:r>
        <w:rPr>
          <w:rFonts w:ascii="Times New Roman" w:hAnsi="Times New Roman" w:cs="Times New Roman" w:eastAsia="Times New Roman"/>
        </w:rPr>
        <w:tab/>
      </w:r>
      <w:bookmarkStart w:name="收益法" w:id="43"/>
      <w:bookmarkEnd w:id="43"/>
      <w:r>
        <w:rPr>
          <w:rFonts w:ascii="Times New Roman" w:hAnsi="Times New Roman" w:cs="Times New Roman" w:eastAsia="Times New Roman"/>
        </w:rPr>
      </w:r>
      <w:r>
        <w:rPr>
          <w:rFonts w:ascii="宋体" w:hAnsi="宋体" w:cs="宋体" w:eastAsia="宋体"/>
        </w:rPr>
        <w:t>收益法</w:t>
      </w:r>
      <w:r>
        <w:rPr>
          <w:rFonts w:ascii="宋体" w:hAnsi="宋体" w:cs="宋体" w:eastAsia="宋体"/>
          <w:w w:val="100"/>
        </w:rPr>
        <w:t> </w:t>
      </w:r>
      <w:r>
        <w:rPr>
          <w:rFonts w:ascii="宋体" w:hAnsi="宋体" w:cs="宋体" w:eastAsia="宋体"/>
          <w:spacing w:val="-2"/>
        </w:rPr>
        <w:t>1、收益法概述</w:t>
      </w:r>
    </w:p>
    <w:p>
      <w:pPr>
        <w:pStyle w:val="BodyText"/>
        <w:spacing w:line="408" w:lineRule="auto" w:before="84"/>
        <w:ind w:left="138" w:right="0" w:firstLine="559"/>
        <w:jc w:val="left"/>
        <w:rPr>
          <w:rFonts w:ascii="宋体" w:hAnsi="宋体" w:cs="宋体" w:eastAsia="宋体"/>
        </w:rPr>
      </w:pPr>
      <w:r>
        <w:rPr>
          <w:rFonts w:ascii="宋体" w:hAnsi="宋体" w:cs="宋体" w:eastAsia="宋体"/>
          <w:spacing w:val="2"/>
        </w:rPr>
        <w:t>收益法，是指将预期收益资本化或者折现，确定评估对象价值的评估</w:t>
      </w:r>
      <w:r>
        <w:rPr>
          <w:rFonts w:ascii="宋体" w:hAnsi="宋体" w:cs="宋体" w:eastAsia="宋体"/>
          <w:w w:val="100"/>
        </w:rPr>
        <w:t> </w:t>
      </w:r>
      <w:r>
        <w:rPr>
          <w:rFonts w:ascii="宋体" w:hAnsi="宋体" w:cs="宋体" w:eastAsia="宋体"/>
        </w:rPr>
        <w:t>方法。</w:t>
      </w:r>
    </w:p>
    <w:p>
      <w:pPr>
        <w:pStyle w:val="BodyText"/>
        <w:spacing w:line="240" w:lineRule="auto"/>
        <w:ind w:left="697" w:right="0"/>
        <w:jc w:val="left"/>
        <w:rPr>
          <w:rFonts w:ascii="宋体" w:hAnsi="宋体" w:cs="宋体" w:eastAsia="宋体"/>
        </w:rPr>
      </w:pPr>
      <w:r>
        <w:rPr>
          <w:rFonts w:ascii="宋体" w:hAnsi="宋体" w:cs="宋体" w:eastAsia="宋体"/>
          <w:spacing w:val="2"/>
        </w:rPr>
        <w:t>在采用收益法评估中，要求被评估资产价值内涵和运用的收益类型以</w:t>
      </w:r>
    </w:p>
    <w:p>
      <w:pPr>
        <w:spacing w:after="0" w:line="240" w:lineRule="auto"/>
        <w:jc w:val="left"/>
        <w:rPr>
          <w:rFonts w:ascii="宋体" w:hAnsi="宋体" w:cs="宋体" w:eastAsia="宋体"/>
        </w:rPr>
        <w:sectPr>
          <w:type w:val="continuous"/>
          <w:pgSz w:w="11910" w:h="16840"/>
          <w:pgMar w:top="1100" w:bottom="280" w:left="1280" w:right="1160"/>
        </w:sectPr>
      </w:pPr>
    </w:p>
    <w:p>
      <w:pPr>
        <w:spacing w:line="240" w:lineRule="auto" w:before="0"/>
        <w:rPr>
          <w:rFonts w:ascii="宋体" w:hAnsi="宋体" w:cs="宋体" w:eastAsia="宋体"/>
          <w:sz w:val="20"/>
          <w:szCs w:val="20"/>
        </w:rPr>
      </w:pPr>
    </w:p>
    <w:p>
      <w:pPr>
        <w:pStyle w:val="BodyText"/>
        <w:spacing w:line="408" w:lineRule="auto" w:before="146"/>
        <w:ind w:left="677" w:right="3778" w:hanging="560"/>
        <w:jc w:val="left"/>
        <w:rPr>
          <w:rFonts w:ascii="宋体" w:hAnsi="宋体" w:cs="宋体" w:eastAsia="宋体"/>
        </w:rPr>
      </w:pPr>
      <w:r>
        <w:rPr>
          <w:rFonts w:ascii="宋体" w:hAnsi="宋体" w:cs="宋体" w:eastAsia="宋体"/>
        </w:rPr>
        <w:t>及折现率的口径必须是一致的。</w:t>
      </w:r>
      <w:r>
        <w:rPr>
          <w:rFonts w:ascii="宋体" w:hAnsi="宋体" w:cs="宋体" w:eastAsia="宋体"/>
          <w:w w:val="100"/>
        </w:rPr>
        <w:t> </w:t>
      </w:r>
      <w:r>
        <w:rPr>
          <w:rFonts w:ascii="宋体" w:hAnsi="宋体" w:cs="宋体" w:eastAsia="宋体"/>
        </w:rPr>
        <w:t>2、收益法适用条件</w:t>
      </w:r>
      <w:r>
        <w:rPr>
          <w:rFonts w:ascii="宋体" w:hAnsi="宋体" w:cs="宋体" w:eastAsia="宋体"/>
          <w:w w:val="100"/>
        </w:rPr>
        <w:t> </w:t>
      </w:r>
      <w:r>
        <w:rPr>
          <w:rFonts w:ascii="宋体" w:hAnsi="宋体" w:cs="宋体" w:eastAsia="宋体"/>
          <w:spacing w:val="-2"/>
        </w:rPr>
        <w:t>被评估资产必须具备以下前提条件：</w:t>
      </w:r>
    </w:p>
    <w:p>
      <w:pPr>
        <w:pStyle w:val="BodyText"/>
        <w:spacing w:line="408" w:lineRule="auto"/>
        <w:ind w:right="0" w:firstLine="559"/>
        <w:jc w:val="left"/>
        <w:rPr>
          <w:rFonts w:ascii="宋体" w:hAnsi="宋体" w:cs="宋体" w:eastAsia="宋体"/>
        </w:rPr>
      </w:pPr>
      <w:r>
        <w:rPr>
          <w:rFonts w:ascii="宋体" w:hAnsi="宋体" w:cs="宋体" w:eastAsia="宋体"/>
          <w:spacing w:val="-3"/>
        </w:rPr>
        <w:t>（1）委估资产持续经营并能产生经营收益，且经营收益可以用货币计</w:t>
      </w:r>
      <w:r>
        <w:rPr>
          <w:rFonts w:ascii="宋体" w:hAnsi="宋体" w:cs="宋体" w:eastAsia="宋体"/>
          <w:w w:val="100"/>
        </w:rPr>
        <w:t> </w:t>
      </w:r>
      <w:r>
        <w:rPr>
          <w:rFonts w:ascii="宋体" w:hAnsi="宋体" w:cs="宋体" w:eastAsia="宋体"/>
        </w:rPr>
        <w:t>量；</w:t>
      </w:r>
    </w:p>
    <w:p>
      <w:pPr>
        <w:pStyle w:val="BodyText"/>
        <w:spacing w:line="408" w:lineRule="auto"/>
        <w:ind w:left="677" w:right="2069"/>
        <w:jc w:val="left"/>
        <w:rPr>
          <w:rFonts w:ascii="宋体" w:hAnsi="宋体" w:cs="宋体" w:eastAsia="宋体"/>
        </w:rPr>
      </w:pPr>
      <w:r>
        <w:rPr>
          <w:rFonts w:ascii="宋体" w:hAnsi="宋体" w:cs="宋体" w:eastAsia="宋体"/>
          <w:spacing w:val="-2"/>
        </w:rPr>
        <w:t>（2）委估资产在未来经营中面临的风险可以计量。</w:t>
      </w:r>
      <w:r>
        <w:rPr>
          <w:rFonts w:ascii="宋体" w:hAnsi="宋体" w:cs="宋体" w:eastAsia="宋体"/>
          <w:spacing w:val="-107"/>
        </w:rPr>
        <w:t> </w:t>
      </w:r>
      <w:r>
        <w:rPr>
          <w:rFonts w:ascii="宋体" w:hAnsi="宋体" w:cs="宋体" w:eastAsia="宋体"/>
          <w:spacing w:val="-107"/>
        </w:rPr>
      </w:r>
      <w:r>
        <w:rPr>
          <w:rFonts w:ascii="宋体" w:hAnsi="宋体" w:cs="宋体" w:eastAsia="宋体"/>
        </w:rPr>
        <w:t>3、收益法评估思路</w:t>
      </w:r>
      <w:r>
        <w:rPr>
          <w:rFonts w:ascii="宋体" w:hAnsi="宋体" w:cs="宋体" w:eastAsia="宋体"/>
          <w:w w:val="100"/>
        </w:rPr>
        <w:t> </w:t>
      </w:r>
      <w:r>
        <w:rPr>
          <w:rFonts w:ascii="宋体" w:hAnsi="宋体" w:cs="宋体" w:eastAsia="宋体"/>
        </w:rPr>
        <w:t>本次评估按照如下基本思路进行：</w:t>
      </w:r>
    </w:p>
    <w:p>
      <w:pPr>
        <w:pStyle w:val="BodyText"/>
        <w:spacing w:line="408" w:lineRule="auto"/>
        <w:ind w:right="0" w:firstLine="559"/>
        <w:jc w:val="left"/>
        <w:rPr>
          <w:rFonts w:ascii="宋体" w:hAnsi="宋体" w:cs="宋体" w:eastAsia="宋体"/>
        </w:rPr>
      </w:pPr>
      <w:r>
        <w:rPr>
          <w:rFonts w:ascii="宋体" w:hAnsi="宋体" w:cs="宋体" w:eastAsia="宋体"/>
          <w:spacing w:val="-3"/>
        </w:rPr>
        <w:t>（1）牙鲆鱼养殖示范开发项目中涉及的房屋的年租金收益现状以及市</w:t>
      </w:r>
      <w:r>
        <w:rPr>
          <w:rFonts w:ascii="宋体" w:hAnsi="宋体" w:cs="宋体" w:eastAsia="宋体"/>
          <w:w w:val="100"/>
        </w:rPr>
        <w:t> </w:t>
      </w:r>
      <w:r>
        <w:rPr>
          <w:rFonts w:ascii="宋体" w:hAnsi="宋体" w:cs="宋体" w:eastAsia="宋体"/>
        </w:rPr>
        <w:t>场、行业、竞争等环境因素和经营、管理、成本等内部条件进行分析；</w:t>
      </w:r>
    </w:p>
    <w:p>
      <w:pPr>
        <w:pStyle w:val="BodyText"/>
        <w:spacing w:line="408" w:lineRule="auto"/>
        <w:ind w:right="0" w:firstLine="559"/>
        <w:jc w:val="left"/>
        <w:rPr>
          <w:rFonts w:ascii="宋体" w:hAnsi="宋体" w:cs="宋体" w:eastAsia="宋体"/>
        </w:rPr>
      </w:pPr>
      <w:r>
        <w:rPr>
          <w:rFonts w:ascii="宋体" w:hAnsi="宋体" w:cs="宋体" w:eastAsia="宋体"/>
          <w:spacing w:val="-3"/>
        </w:rPr>
        <w:t>（2）牙鲆鱼养殖示范开发项目中涉及的房屋的年租金收益进行合理的</w:t>
      </w:r>
      <w:r>
        <w:rPr>
          <w:rFonts w:ascii="宋体" w:hAnsi="宋体" w:cs="宋体" w:eastAsia="宋体"/>
          <w:w w:val="100"/>
        </w:rPr>
        <w:t> </w:t>
      </w:r>
      <w:r>
        <w:rPr>
          <w:rFonts w:ascii="宋体" w:hAnsi="宋体" w:cs="宋体" w:eastAsia="宋体"/>
        </w:rPr>
        <w:t>预测；</w:t>
      </w:r>
    </w:p>
    <w:p>
      <w:pPr>
        <w:pStyle w:val="BodyText"/>
        <w:spacing w:line="408" w:lineRule="auto"/>
        <w:ind w:right="0" w:firstLine="559"/>
        <w:jc w:val="left"/>
        <w:rPr>
          <w:rFonts w:ascii="宋体" w:hAnsi="宋体" w:cs="宋体" w:eastAsia="宋体"/>
        </w:rPr>
      </w:pPr>
      <w:r>
        <w:rPr>
          <w:rFonts w:ascii="宋体" w:hAnsi="宋体" w:cs="宋体" w:eastAsia="宋体"/>
          <w:spacing w:val="-3"/>
        </w:rPr>
        <w:t>（3）牙鲆鱼养殖示范开发项目中涉及的房屋的年租金收益趋势进行判</w:t>
      </w:r>
      <w:r>
        <w:rPr>
          <w:rFonts w:ascii="宋体" w:hAnsi="宋体" w:cs="宋体" w:eastAsia="宋体"/>
          <w:w w:val="100"/>
        </w:rPr>
        <w:t> </w:t>
      </w:r>
      <w:r>
        <w:rPr>
          <w:rFonts w:ascii="宋体" w:hAnsi="宋体" w:cs="宋体" w:eastAsia="宋体"/>
        </w:rPr>
        <w:t>断和估算；</w:t>
      </w:r>
    </w:p>
    <w:p>
      <w:pPr>
        <w:pStyle w:val="BodyText"/>
        <w:spacing w:line="240" w:lineRule="auto"/>
        <w:ind w:left="677" w:right="0"/>
        <w:jc w:val="left"/>
        <w:rPr>
          <w:rFonts w:ascii="宋体" w:hAnsi="宋体" w:cs="宋体" w:eastAsia="宋体"/>
        </w:rPr>
      </w:pPr>
      <w:r>
        <w:rPr>
          <w:rFonts w:ascii="宋体" w:hAnsi="宋体" w:cs="宋体" w:eastAsia="宋体"/>
        </w:rPr>
        <w:t>（4）选择适合的评估模型；</w:t>
      </w:r>
    </w:p>
    <w:p>
      <w:pPr>
        <w:spacing w:line="240" w:lineRule="auto" w:before="9"/>
        <w:rPr>
          <w:rFonts w:ascii="宋体" w:hAnsi="宋体" w:cs="宋体" w:eastAsia="宋体"/>
          <w:sz w:val="19"/>
          <w:szCs w:val="19"/>
        </w:rPr>
      </w:pPr>
    </w:p>
    <w:p>
      <w:pPr>
        <w:pStyle w:val="BodyText"/>
        <w:spacing w:line="408" w:lineRule="auto" w:before="0"/>
        <w:ind w:right="0" w:firstLine="559"/>
        <w:jc w:val="left"/>
        <w:rPr>
          <w:rFonts w:ascii="宋体" w:hAnsi="宋体" w:cs="宋体" w:eastAsia="宋体"/>
        </w:rPr>
      </w:pPr>
      <w:r>
        <w:rPr>
          <w:rFonts w:ascii="宋体" w:hAnsi="宋体" w:cs="宋体" w:eastAsia="宋体"/>
          <w:spacing w:val="-3"/>
        </w:rPr>
        <w:t>（5）根据评估模型和确定的相关参数估算牙鲆鱼养殖示范开发项目中</w:t>
      </w:r>
      <w:r>
        <w:rPr>
          <w:rFonts w:ascii="宋体" w:hAnsi="宋体" w:cs="宋体" w:eastAsia="宋体"/>
          <w:w w:val="100"/>
        </w:rPr>
        <w:t> </w:t>
      </w:r>
      <w:r>
        <w:rPr>
          <w:rFonts w:ascii="宋体" w:hAnsi="宋体" w:cs="宋体" w:eastAsia="宋体"/>
        </w:rPr>
        <w:t>涉及的房屋的市场价值。</w:t>
      </w:r>
    </w:p>
    <w:p>
      <w:pPr>
        <w:pStyle w:val="BodyText"/>
        <w:spacing w:line="240" w:lineRule="auto"/>
        <w:ind w:left="677" w:right="0"/>
        <w:jc w:val="left"/>
        <w:rPr>
          <w:rFonts w:ascii="宋体" w:hAnsi="宋体" w:cs="宋体" w:eastAsia="宋体"/>
        </w:rPr>
      </w:pPr>
      <w:r>
        <w:rPr>
          <w:rFonts w:ascii="宋体" w:hAnsi="宋体" w:cs="宋体" w:eastAsia="宋体"/>
        </w:rPr>
        <w:t>4、收益法测算过程</w:t>
      </w:r>
    </w:p>
    <w:p>
      <w:pPr>
        <w:spacing w:line="240" w:lineRule="auto" w:before="9"/>
        <w:rPr>
          <w:rFonts w:ascii="宋体" w:hAnsi="宋体" w:cs="宋体" w:eastAsia="宋体"/>
          <w:sz w:val="19"/>
          <w:szCs w:val="19"/>
        </w:rPr>
      </w:pPr>
    </w:p>
    <w:p>
      <w:pPr>
        <w:pStyle w:val="BodyText"/>
        <w:spacing w:line="240" w:lineRule="auto" w:before="0"/>
        <w:ind w:left="677" w:right="0"/>
        <w:jc w:val="left"/>
        <w:rPr>
          <w:rFonts w:ascii="宋体" w:hAnsi="宋体" w:cs="宋体" w:eastAsia="宋体"/>
        </w:rPr>
      </w:pPr>
      <w:r>
        <w:rPr>
          <w:rFonts w:ascii="宋体" w:hAnsi="宋体" w:cs="宋体" w:eastAsia="宋体"/>
        </w:rPr>
        <w:t>（1）收益法测算公式</w:t>
      </w:r>
    </w:p>
    <w:p>
      <w:pPr>
        <w:spacing w:line="240" w:lineRule="auto" w:before="9"/>
        <w:rPr>
          <w:rFonts w:ascii="宋体" w:hAnsi="宋体" w:cs="宋体" w:eastAsia="宋体"/>
          <w:sz w:val="19"/>
          <w:szCs w:val="19"/>
        </w:rPr>
      </w:pPr>
    </w:p>
    <w:p>
      <w:pPr>
        <w:pStyle w:val="BodyText"/>
        <w:spacing w:line="408" w:lineRule="auto" w:before="0"/>
        <w:ind w:left="970" w:right="3778" w:hanging="293"/>
        <w:jc w:val="left"/>
        <w:rPr>
          <w:rFonts w:ascii="宋体" w:hAnsi="宋体" w:cs="宋体" w:eastAsia="宋体"/>
        </w:rPr>
      </w:pPr>
      <w:r>
        <w:rPr>
          <w:rFonts w:ascii="宋体" w:hAnsi="宋体" w:cs="宋体" w:eastAsia="宋体"/>
          <w:spacing w:val="-1"/>
        </w:rPr>
        <w:t>V=p/(r-g)*(1-(1+g)^n/(1+r)^n)</w:t>
      </w:r>
      <w:r>
        <w:rPr>
          <w:rFonts w:ascii="宋体" w:hAnsi="宋体" w:cs="宋体" w:eastAsia="宋体"/>
          <w:spacing w:val="-123"/>
        </w:rPr>
        <w:t> </w:t>
      </w:r>
      <w:r>
        <w:rPr>
          <w:rFonts w:ascii="宋体" w:hAnsi="宋体" w:cs="宋体" w:eastAsia="宋体"/>
          <w:spacing w:val="-123"/>
        </w:rPr>
      </w:r>
      <w:r>
        <w:rPr>
          <w:rFonts w:ascii="宋体" w:hAnsi="宋体" w:cs="宋体" w:eastAsia="宋体"/>
        </w:rPr>
        <w:t>其中：</w:t>
      </w:r>
    </w:p>
    <w:p>
      <w:pPr>
        <w:pStyle w:val="BodyText"/>
        <w:spacing w:line="240" w:lineRule="auto"/>
        <w:ind w:left="677" w:right="0"/>
        <w:jc w:val="left"/>
        <w:rPr>
          <w:rFonts w:ascii="宋体" w:hAnsi="宋体" w:cs="宋体" w:eastAsia="宋体"/>
        </w:rPr>
      </w:pPr>
      <w:r>
        <w:rPr>
          <w:rFonts w:ascii="宋体" w:hAnsi="宋体" w:cs="宋体" w:eastAsia="宋体"/>
        </w:rPr>
        <w:t>P</w:t>
      </w:r>
      <w:r>
        <w:rPr>
          <w:rFonts w:ascii="宋体" w:hAnsi="宋体" w:cs="宋体" w:eastAsia="宋体"/>
          <w:spacing w:val="-78"/>
        </w:rPr>
        <w:t> </w:t>
      </w:r>
      <w:r>
        <w:rPr>
          <w:rFonts w:ascii="宋体" w:hAnsi="宋体" w:cs="宋体" w:eastAsia="宋体"/>
        </w:rPr>
        <w:t>：净年租金</w:t>
      </w:r>
    </w:p>
    <w:p>
      <w:pPr>
        <w:spacing w:after="0" w:line="240" w:lineRule="auto"/>
        <w:jc w:val="left"/>
        <w:rPr>
          <w:rFonts w:ascii="宋体" w:hAnsi="宋体" w:cs="宋体" w:eastAsia="宋体"/>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pStyle w:val="BodyText"/>
        <w:spacing w:line="408" w:lineRule="auto" w:before="146"/>
        <w:ind w:left="677" w:right="5167"/>
        <w:jc w:val="left"/>
        <w:rPr>
          <w:rFonts w:ascii="宋体" w:hAnsi="宋体" w:cs="宋体" w:eastAsia="宋体"/>
        </w:rPr>
      </w:pPr>
      <w:r>
        <w:rPr>
          <w:rFonts w:ascii="宋体" w:hAnsi="宋体" w:cs="宋体" w:eastAsia="宋体"/>
        </w:rPr>
        <w:t>V：目前市场价格</w:t>
      </w:r>
      <w:r>
        <w:rPr>
          <w:rFonts w:ascii="宋体" w:hAnsi="宋体" w:cs="宋体" w:eastAsia="宋体"/>
          <w:w w:val="100"/>
        </w:rPr>
        <w:t> </w:t>
      </w:r>
      <w:r>
        <w:rPr>
          <w:rFonts w:ascii="宋体" w:hAnsi="宋体" w:cs="宋体" w:eastAsia="宋体"/>
        </w:rPr>
        <w:t>r：投资收益率</w:t>
      </w:r>
      <w:r>
        <w:rPr>
          <w:rFonts w:ascii="宋体" w:hAnsi="宋体" w:cs="宋体" w:eastAsia="宋体"/>
          <w:w w:val="100"/>
        </w:rPr>
        <w:t> </w:t>
      </w:r>
      <w:r>
        <w:rPr>
          <w:rFonts w:ascii="宋体" w:hAnsi="宋体" w:cs="宋体" w:eastAsia="宋体"/>
          <w:spacing w:val="-2"/>
        </w:rPr>
        <w:t>g：每年租金增长率</w:t>
      </w:r>
      <w:r>
        <w:rPr>
          <w:rFonts w:ascii="宋体" w:hAnsi="宋体" w:cs="宋体" w:eastAsia="宋体"/>
          <w:spacing w:val="-127"/>
        </w:rPr>
        <w:t> </w:t>
      </w:r>
      <w:r>
        <w:rPr>
          <w:rFonts w:ascii="宋体" w:hAnsi="宋体" w:cs="宋体" w:eastAsia="宋体"/>
          <w:spacing w:val="-127"/>
        </w:rPr>
      </w:r>
      <w:r>
        <w:rPr>
          <w:rFonts w:ascii="宋体" w:hAnsi="宋体" w:cs="宋体" w:eastAsia="宋体"/>
        </w:rPr>
        <w:t>n：收益期</w:t>
      </w:r>
    </w:p>
    <w:p>
      <w:pPr>
        <w:pStyle w:val="BodyText"/>
        <w:spacing w:line="408" w:lineRule="auto"/>
        <w:ind w:left="677" w:right="114"/>
        <w:jc w:val="left"/>
        <w:rPr>
          <w:rFonts w:ascii="宋体" w:hAnsi="宋体" w:cs="宋体" w:eastAsia="宋体"/>
        </w:rPr>
      </w:pPr>
      <w:r>
        <w:rPr>
          <w:rFonts w:ascii="宋体" w:hAnsi="宋体" w:cs="宋体" w:eastAsia="宋体"/>
        </w:rPr>
        <w:t>（2）净年租金、收益期的确定</w:t>
      </w:r>
      <w:r>
        <w:rPr>
          <w:rFonts w:ascii="宋体" w:hAnsi="宋体" w:cs="宋体" w:eastAsia="宋体"/>
          <w:w w:val="100"/>
        </w:rPr>
        <w:t> </w:t>
      </w:r>
      <w:r>
        <w:rPr>
          <w:rFonts w:ascii="宋体" w:hAnsi="宋体" w:cs="宋体" w:eastAsia="宋体"/>
          <w:spacing w:val="2"/>
        </w:rPr>
        <w:t>估价人员经过市场调查同地区同类型的房屋租金，确定年租金为 </w:t>
      </w:r>
      <w:r>
        <w:rPr>
          <w:rFonts w:ascii="宋体" w:hAnsi="宋体" w:cs="宋体" w:eastAsia="宋体"/>
        </w:rPr>
        <w:t>2</w:t>
      </w:r>
      <w:r>
        <w:rPr>
          <w:rFonts w:ascii="宋体" w:hAnsi="宋体" w:cs="宋体" w:eastAsia="宋体"/>
          <w:spacing w:val="-96"/>
        </w:rPr>
        <w:t> </w:t>
      </w:r>
      <w:r>
        <w:rPr>
          <w:rFonts w:ascii="宋体" w:hAnsi="宋体" w:cs="宋体" w:eastAsia="宋体"/>
        </w:rPr>
        <w:t>万</w:t>
      </w:r>
    </w:p>
    <w:p>
      <w:pPr>
        <w:pStyle w:val="BodyText"/>
        <w:spacing w:line="408" w:lineRule="auto"/>
        <w:ind w:left="677" w:right="114" w:hanging="560"/>
        <w:jc w:val="left"/>
        <w:rPr>
          <w:rFonts w:ascii="宋体" w:hAnsi="宋体" w:cs="宋体" w:eastAsia="宋体"/>
        </w:rPr>
      </w:pPr>
      <w:r>
        <w:rPr>
          <w:rFonts w:ascii="宋体" w:hAnsi="宋体" w:cs="宋体" w:eastAsia="宋体"/>
        </w:rPr>
        <w:t>元/年，收益期限为</w:t>
      </w:r>
      <w:r>
        <w:rPr>
          <w:rFonts w:ascii="宋体" w:hAnsi="宋体" w:cs="宋体" w:eastAsia="宋体"/>
          <w:spacing w:val="-72"/>
        </w:rPr>
        <w:t> </w:t>
      </w:r>
      <w:r>
        <w:rPr>
          <w:rFonts w:ascii="宋体" w:hAnsi="宋体" w:cs="宋体" w:eastAsia="宋体"/>
        </w:rPr>
        <w:t>20</w:t>
      </w:r>
      <w:r>
        <w:rPr>
          <w:rFonts w:ascii="宋体" w:hAnsi="宋体" w:cs="宋体" w:eastAsia="宋体"/>
          <w:spacing w:val="-73"/>
        </w:rPr>
        <w:t> </w:t>
      </w:r>
      <w:r>
        <w:rPr>
          <w:rFonts w:ascii="宋体" w:hAnsi="宋体" w:cs="宋体" w:eastAsia="宋体"/>
        </w:rPr>
        <w:t>年。通过测算净年租金约</w:t>
      </w:r>
      <w:r>
        <w:rPr>
          <w:rFonts w:ascii="宋体" w:hAnsi="宋体" w:cs="宋体" w:eastAsia="宋体"/>
          <w:spacing w:val="-72"/>
        </w:rPr>
        <w:t> </w:t>
      </w:r>
      <w:r>
        <w:rPr>
          <w:rFonts w:ascii="宋体" w:hAnsi="宋体" w:cs="宋体" w:eastAsia="宋体"/>
        </w:rPr>
        <w:t>1.54</w:t>
      </w:r>
      <w:r>
        <w:rPr>
          <w:rFonts w:ascii="宋体" w:hAnsi="宋体" w:cs="宋体" w:eastAsia="宋体"/>
          <w:spacing w:val="-73"/>
        </w:rPr>
        <w:t> </w:t>
      </w:r>
      <w:r>
        <w:rPr>
          <w:rFonts w:ascii="宋体" w:hAnsi="宋体" w:cs="宋体" w:eastAsia="宋体"/>
        </w:rPr>
        <w:t>万元/年。</w:t>
      </w:r>
      <w:r>
        <w:rPr>
          <w:rFonts w:ascii="宋体" w:hAnsi="宋体" w:cs="宋体" w:eastAsia="宋体"/>
          <w:w w:val="100"/>
        </w:rPr>
        <w:t> </w:t>
      </w:r>
      <w:r>
        <w:rPr>
          <w:rFonts w:ascii="宋体" w:hAnsi="宋体" w:cs="宋体" w:eastAsia="宋体"/>
          <w:spacing w:val="2"/>
        </w:rPr>
        <w:t>土地：《江苏省连云港市人民政府市政府关于印发连云港市征地补偿</w:t>
      </w:r>
    </w:p>
    <w:p>
      <w:pPr>
        <w:pStyle w:val="BodyText"/>
        <w:spacing w:line="408" w:lineRule="auto"/>
        <w:ind w:right="253"/>
        <w:jc w:val="both"/>
        <w:rPr>
          <w:rFonts w:ascii="宋体" w:hAnsi="宋体" w:cs="宋体" w:eastAsia="宋体"/>
        </w:rPr>
      </w:pPr>
      <w:r>
        <w:rPr>
          <w:rFonts w:ascii="宋体" w:hAnsi="宋体" w:cs="宋体" w:eastAsia="宋体"/>
          <w:spacing w:val="-3"/>
        </w:rPr>
        <w:t>暂行办法的通知》连政规发[2011]10</w:t>
      </w:r>
      <w:r>
        <w:rPr>
          <w:rFonts w:ascii="宋体" w:hAnsi="宋体" w:cs="宋体" w:eastAsia="宋体"/>
          <w:spacing w:val="-58"/>
        </w:rPr>
        <w:t> </w:t>
      </w:r>
      <w:r>
        <w:rPr>
          <w:rFonts w:ascii="宋体" w:hAnsi="宋体" w:cs="宋体" w:eastAsia="宋体"/>
          <w:spacing w:val="-5"/>
        </w:rPr>
        <w:t>号，第二章第</w:t>
      </w:r>
      <w:r>
        <w:rPr>
          <w:rFonts w:ascii="宋体" w:hAnsi="宋体" w:cs="宋体" w:eastAsia="宋体"/>
          <w:spacing w:val="-57"/>
        </w:rPr>
        <w:t> </w:t>
      </w:r>
      <w:r>
        <w:rPr>
          <w:rFonts w:ascii="宋体" w:hAnsi="宋体" w:cs="宋体" w:eastAsia="宋体"/>
        </w:rPr>
        <w:t>17</w:t>
      </w:r>
      <w:r>
        <w:rPr>
          <w:rFonts w:ascii="宋体" w:hAnsi="宋体" w:cs="宋体" w:eastAsia="宋体"/>
          <w:spacing w:val="-58"/>
        </w:rPr>
        <w:t> </w:t>
      </w:r>
      <w:r>
        <w:rPr>
          <w:rFonts w:ascii="宋体" w:hAnsi="宋体" w:cs="宋体" w:eastAsia="宋体"/>
          <w:spacing w:val="-8"/>
        </w:rPr>
        <w:t>条规定，（一）土地</w:t>
      </w:r>
      <w:r>
        <w:rPr>
          <w:rFonts w:ascii="宋体" w:hAnsi="宋体" w:cs="宋体" w:eastAsia="宋体"/>
          <w:spacing w:val="-135"/>
        </w:rPr>
        <w:t> </w:t>
      </w:r>
      <w:r>
        <w:rPr>
          <w:rFonts w:ascii="宋体" w:hAnsi="宋体" w:cs="宋体" w:eastAsia="宋体"/>
          <w:spacing w:val="-135"/>
        </w:rPr>
      </w:r>
      <w:r>
        <w:rPr>
          <w:rFonts w:ascii="宋体" w:hAnsi="宋体" w:cs="宋体" w:eastAsia="宋体"/>
          <w:spacing w:val="-8"/>
        </w:rPr>
        <w:t>补偿费征收农用地的土地补偿费标准为：市区每亩</w:t>
      </w:r>
      <w:r>
        <w:rPr>
          <w:rFonts w:ascii="宋体" w:hAnsi="宋体" w:cs="宋体" w:eastAsia="宋体"/>
          <w:spacing w:val="-99"/>
        </w:rPr>
        <w:t> </w:t>
      </w:r>
      <w:r>
        <w:rPr>
          <w:rFonts w:ascii="宋体" w:hAnsi="宋体" w:cs="宋体" w:eastAsia="宋体"/>
        </w:rPr>
        <w:t>19000</w:t>
      </w:r>
      <w:r>
        <w:rPr>
          <w:rFonts w:ascii="宋体" w:hAnsi="宋体" w:cs="宋体" w:eastAsia="宋体"/>
          <w:spacing w:val="-96"/>
        </w:rPr>
        <w:t> </w:t>
      </w:r>
      <w:r>
        <w:rPr>
          <w:rFonts w:ascii="宋体" w:hAnsi="宋体" w:cs="宋体" w:eastAsia="宋体"/>
          <w:spacing w:val="-25"/>
        </w:rPr>
        <w:t>元，各县每亩</w:t>
      </w:r>
      <w:r>
        <w:rPr>
          <w:rFonts w:ascii="宋体" w:hAnsi="宋体" w:cs="宋体" w:eastAsia="宋体"/>
          <w:spacing w:val="-99"/>
        </w:rPr>
        <w:t> </w:t>
      </w:r>
      <w:r>
        <w:rPr>
          <w:rFonts w:ascii="宋体" w:hAnsi="宋体" w:cs="宋体" w:eastAsia="宋体"/>
        </w:rPr>
        <w:t>17000</w:t>
      </w:r>
      <w:r>
        <w:rPr>
          <w:rFonts w:ascii="宋体" w:hAnsi="宋体" w:cs="宋体" w:eastAsia="宋体"/>
          <w:spacing w:val="-134"/>
        </w:rPr>
        <w:t> </w:t>
      </w:r>
      <w:r>
        <w:rPr>
          <w:rFonts w:ascii="宋体" w:hAnsi="宋体" w:cs="宋体" w:eastAsia="宋体"/>
          <w:spacing w:val="-134"/>
        </w:rPr>
      </w:r>
      <w:r>
        <w:rPr>
          <w:rFonts w:ascii="宋体" w:hAnsi="宋体" w:cs="宋体" w:eastAsia="宋体"/>
        </w:rPr>
        <w:t>元。征收建设用地的土地补偿费，按照征收农用地土地补偿费计算。</w:t>
      </w:r>
    </w:p>
    <w:p>
      <w:pPr>
        <w:pStyle w:val="BodyText"/>
        <w:spacing w:line="408" w:lineRule="auto"/>
        <w:ind w:left="677" w:right="2883"/>
        <w:jc w:val="left"/>
        <w:rPr>
          <w:rFonts w:ascii="宋体" w:hAnsi="宋体" w:cs="宋体" w:eastAsia="宋体"/>
        </w:rPr>
      </w:pPr>
      <w:r>
        <w:rPr>
          <w:rFonts w:ascii="宋体" w:hAnsi="宋体" w:cs="宋体" w:eastAsia="宋体"/>
          <w:spacing w:val="-2"/>
        </w:rPr>
        <w:t>（3）收益率和每年租金增长率的确定</w:t>
      </w:r>
      <w:r>
        <w:rPr>
          <w:rFonts w:ascii="宋体" w:hAnsi="宋体" w:cs="宋体" w:eastAsia="宋体"/>
          <w:spacing w:val="-117"/>
        </w:rPr>
        <w:t> </w:t>
      </w:r>
      <w:r>
        <w:rPr>
          <w:rFonts w:ascii="宋体" w:hAnsi="宋体" w:cs="宋体" w:eastAsia="宋体"/>
          <w:spacing w:val="-117"/>
        </w:rPr>
      </w:r>
      <w:r>
        <w:rPr>
          <w:rFonts w:ascii="宋体" w:hAnsi="宋体" w:cs="宋体" w:eastAsia="宋体"/>
        </w:rPr>
        <w:t>a.确定收益率</w:t>
      </w:r>
    </w:p>
    <w:p>
      <w:pPr>
        <w:pStyle w:val="BodyText"/>
        <w:spacing w:line="408" w:lineRule="auto"/>
        <w:ind w:right="114" w:firstLine="559"/>
        <w:jc w:val="left"/>
        <w:rPr>
          <w:rFonts w:ascii="宋体" w:hAnsi="宋体" w:cs="宋体" w:eastAsia="宋体"/>
        </w:rPr>
      </w:pPr>
      <w:r>
        <w:rPr>
          <w:rFonts w:ascii="宋体" w:hAnsi="宋体" w:cs="宋体" w:eastAsia="宋体"/>
          <w:spacing w:val="2"/>
        </w:rPr>
        <w:t>收益率实质上是投资资本的收益率。我们采用安全利率加风险调整值</w:t>
      </w:r>
      <w:r>
        <w:rPr>
          <w:rFonts w:ascii="宋体" w:hAnsi="宋体" w:cs="宋体" w:eastAsia="宋体"/>
          <w:w w:val="100"/>
        </w:rPr>
        <w:t> </w:t>
      </w:r>
      <w:r>
        <w:rPr>
          <w:rFonts w:ascii="宋体" w:hAnsi="宋体" w:cs="宋体" w:eastAsia="宋体"/>
        </w:rPr>
        <w:t>法和投资风险与投资收益率综合排序插入法二种方法综合确定收益率。</w:t>
      </w:r>
    </w:p>
    <w:p>
      <w:pPr>
        <w:pStyle w:val="BodyText"/>
        <w:spacing w:line="408" w:lineRule="auto"/>
        <w:ind w:left="677" w:right="114"/>
        <w:jc w:val="left"/>
        <w:rPr>
          <w:rFonts w:ascii="宋体" w:hAnsi="宋体" w:cs="宋体" w:eastAsia="宋体"/>
        </w:rPr>
      </w:pPr>
      <w:r>
        <w:rPr>
          <w:rFonts w:ascii="宋体" w:hAnsi="宋体" w:cs="宋体" w:eastAsia="宋体"/>
        </w:rPr>
        <w:t>（1）利用安全利率加风险调整值法测算收益率</w:t>
      </w:r>
      <w:r>
        <w:rPr>
          <w:rFonts w:ascii="宋体" w:hAnsi="宋体" w:cs="宋体" w:eastAsia="宋体"/>
          <w:w w:val="100"/>
        </w:rPr>
        <w:t> </w:t>
      </w:r>
      <w:r>
        <w:rPr>
          <w:rFonts w:ascii="宋体" w:hAnsi="宋体" w:cs="宋体" w:eastAsia="宋体"/>
          <w:spacing w:val="-2"/>
        </w:rPr>
        <w:t>安全利率是指无风险的资本投资收益率，我们选取中国人民银行</w:t>
      </w:r>
      <w:r>
        <w:rPr>
          <w:rFonts w:ascii="宋体" w:hAnsi="宋体" w:cs="宋体" w:eastAsia="宋体"/>
          <w:spacing w:val="-29"/>
        </w:rPr>
        <w:t> </w:t>
      </w:r>
      <w:r>
        <w:rPr>
          <w:rFonts w:ascii="宋体" w:hAnsi="宋体" w:cs="宋体" w:eastAsia="宋体"/>
          <w:spacing w:val="-1"/>
        </w:rPr>
        <w:t>2018</w:t>
      </w:r>
    </w:p>
    <w:p>
      <w:pPr>
        <w:pStyle w:val="BodyText"/>
        <w:spacing w:line="408" w:lineRule="auto"/>
        <w:ind w:right="114"/>
        <w:jc w:val="both"/>
        <w:rPr>
          <w:rFonts w:ascii="宋体" w:hAnsi="宋体" w:cs="宋体" w:eastAsia="宋体"/>
        </w:rPr>
      </w:pPr>
      <w:r>
        <w:rPr>
          <w:rFonts w:ascii="宋体" w:hAnsi="宋体" w:cs="宋体" w:eastAsia="宋体"/>
        </w:rPr>
        <w:t>年</w:t>
      </w:r>
      <w:r>
        <w:rPr>
          <w:rFonts w:ascii="宋体" w:hAnsi="宋体" w:cs="宋体" w:eastAsia="宋体"/>
          <w:spacing w:val="-69"/>
        </w:rPr>
        <w:t> </w:t>
      </w:r>
      <w:r>
        <w:rPr>
          <w:rFonts w:ascii="宋体" w:hAnsi="宋体" w:cs="宋体" w:eastAsia="宋体"/>
        </w:rPr>
        <w:t>1</w:t>
      </w:r>
      <w:r>
        <w:rPr>
          <w:rFonts w:ascii="宋体" w:hAnsi="宋体" w:cs="宋体" w:eastAsia="宋体"/>
          <w:spacing w:val="-70"/>
        </w:rPr>
        <w:t> </w:t>
      </w:r>
      <w:r>
        <w:rPr>
          <w:rFonts w:ascii="宋体" w:hAnsi="宋体" w:cs="宋体" w:eastAsia="宋体"/>
        </w:rPr>
        <w:t>月</w:t>
      </w:r>
      <w:r>
        <w:rPr>
          <w:rFonts w:ascii="宋体" w:hAnsi="宋体" w:cs="宋体" w:eastAsia="宋体"/>
          <w:spacing w:val="-69"/>
        </w:rPr>
        <w:t> </w:t>
      </w:r>
      <w:r>
        <w:rPr>
          <w:rFonts w:ascii="宋体" w:hAnsi="宋体" w:cs="宋体" w:eastAsia="宋体"/>
        </w:rPr>
        <w:t>31</w:t>
      </w:r>
      <w:r>
        <w:rPr>
          <w:rFonts w:ascii="宋体" w:hAnsi="宋体" w:cs="宋体" w:eastAsia="宋体"/>
          <w:spacing w:val="-70"/>
        </w:rPr>
        <w:t> </w:t>
      </w:r>
      <w:r>
        <w:rPr>
          <w:rFonts w:ascii="宋体" w:hAnsi="宋体" w:cs="宋体" w:eastAsia="宋体"/>
        </w:rPr>
        <w:t>日公布的一年期定期存款年利率</w:t>
      </w:r>
      <w:r>
        <w:rPr>
          <w:rFonts w:ascii="宋体" w:hAnsi="宋体" w:cs="宋体" w:eastAsia="宋体"/>
          <w:spacing w:val="-71"/>
        </w:rPr>
        <w:t> </w:t>
      </w:r>
      <w:r>
        <w:rPr>
          <w:rFonts w:ascii="宋体" w:hAnsi="宋体" w:cs="宋体" w:eastAsia="宋体"/>
          <w:spacing w:val="-8"/>
        </w:rPr>
        <w:t>1.5%作为安全利率。由于目前房</w:t>
      </w:r>
      <w:r>
        <w:rPr>
          <w:rFonts w:ascii="宋体" w:hAnsi="宋体" w:cs="宋体" w:eastAsia="宋体"/>
          <w:spacing w:val="-134"/>
        </w:rPr>
        <w:t> </w:t>
      </w:r>
      <w:r>
        <w:rPr>
          <w:rFonts w:ascii="宋体" w:hAnsi="宋体" w:cs="宋体" w:eastAsia="宋体"/>
          <w:spacing w:val="-134"/>
        </w:rPr>
      </w:r>
      <w:r>
        <w:rPr>
          <w:rFonts w:ascii="宋体" w:hAnsi="宋体" w:cs="宋体" w:eastAsia="宋体"/>
          <w:spacing w:val="2"/>
        </w:rPr>
        <w:t>屋投资存在一定风险，综合分析该地区社会经济发展和市场状况对房屋投</w:t>
      </w:r>
      <w:r>
        <w:rPr>
          <w:rFonts w:ascii="宋体" w:hAnsi="宋体" w:cs="宋体" w:eastAsia="宋体"/>
          <w:spacing w:val="-101"/>
        </w:rPr>
        <w:t> </w:t>
      </w:r>
      <w:r>
        <w:rPr>
          <w:rFonts w:ascii="宋体" w:hAnsi="宋体" w:cs="宋体" w:eastAsia="宋体"/>
          <w:spacing w:val="-101"/>
        </w:rPr>
      </w:r>
      <w:r>
        <w:rPr>
          <w:rFonts w:ascii="宋体" w:hAnsi="宋体" w:cs="宋体" w:eastAsia="宋体"/>
          <w:spacing w:val="-3"/>
        </w:rPr>
        <w:t>资的影响程度，确定风险调整值为 8.5-13.5%，由此求得收益率为</w:t>
      </w:r>
      <w:r>
        <w:rPr>
          <w:rFonts w:ascii="宋体" w:hAnsi="宋体" w:cs="宋体" w:eastAsia="宋体"/>
          <w:spacing w:val="-89"/>
        </w:rPr>
        <w:t> </w:t>
      </w:r>
      <w:r>
        <w:rPr>
          <w:rFonts w:ascii="宋体" w:hAnsi="宋体" w:cs="宋体" w:eastAsia="宋体"/>
        </w:rPr>
        <w:t>10-15%。</w:t>
      </w:r>
    </w:p>
    <w:p>
      <w:pPr>
        <w:pStyle w:val="BodyText"/>
        <w:spacing w:line="408" w:lineRule="auto"/>
        <w:ind w:left="677" w:right="114"/>
        <w:jc w:val="left"/>
        <w:rPr>
          <w:rFonts w:ascii="宋体" w:hAnsi="宋体" w:cs="宋体" w:eastAsia="宋体"/>
        </w:rPr>
      </w:pPr>
      <w:r>
        <w:rPr>
          <w:rFonts w:ascii="宋体" w:hAnsi="宋体" w:cs="宋体" w:eastAsia="宋体"/>
        </w:rPr>
        <w:t>（2）利用投资风险与投资收益率综合排序插入法测算收益率</w:t>
      </w:r>
      <w:r>
        <w:rPr>
          <w:rFonts w:ascii="宋体" w:hAnsi="宋体" w:cs="宋体" w:eastAsia="宋体"/>
          <w:w w:val="100"/>
        </w:rPr>
        <w:t> </w:t>
      </w:r>
      <w:r>
        <w:rPr>
          <w:rFonts w:ascii="宋体" w:hAnsi="宋体" w:cs="宋体" w:eastAsia="宋体"/>
          <w:spacing w:val="2"/>
        </w:rPr>
        <w:t>投资的收益与投资风险密切相关，目前比较安全、风险性小的投资有</w:t>
      </w:r>
    </w:p>
    <w:p>
      <w:pPr>
        <w:spacing w:after="0" w:line="408" w:lineRule="auto"/>
        <w:jc w:val="left"/>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right="115"/>
        <w:jc w:val="both"/>
        <w:rPr>
          <w:rFonts w:ascii="宋体" w:hAnsi="宋体" w:cs="宋体" w:eastAsia="宋体"/>
        </w:rPr>
      </w:pPr>
      <w:r>
        <w:rPr>
          <w:rFonts w:ascii="宋体" w:hAnsi="宋体" w:cs="宋体" w:eastAsia="宋体"/>
          <w:spacing w:val="8"/>
        </w:rPr>
        <w:t>银行一年期定期存款、三年期国债，但其收益率也较低，分别为</w:t>
      </w:r>
      <w:r>
        <w:rPr>
          <w:rFonts w:ascii="宋体" w:hAnsi="宋体" w:cs="宋体" w:eastAsia="宋体"/>
          <w:spacing w:val="-7"/>
        </w:rPr>
        <w:t> </w:t>
      </w:r>
      <w:r>
        <w:rPr>
          <w:rFonts w:ascii="宋体" w:hAnsi="宋体" w:cs="宋体" w:eastAsia="宋体"/>
        </w:rPr>
        <w:t>1.5%和</w:t>
      </w:r>
      <w:r>
        <w:rPr>
          <w:rFonts w:ascii="宋体" w:hAnsi="宋体" w:cs="宋体" w:eastAsia="宋体"/>
          <w:spacing w:val="-124"/>
        </w:rPr>
        <w:t> </w:t>
      </w:r>
      <w:r>
        <w:rPr>
          <w:rFonts w:ascii="宋体" w:hAnsi="宋体" w:cs="宋体" w:eastAsia="宋体"/>
          <w:spacing w:val="-124"/>
        </w:rPr>
      </w:r>
      <w:r>
        <w:rPr>
          <w:rFonts w:ascii="宋体" w:hAnsi="宋体" w:cs="宋体" w:eastAsia="宋体"/>
        </w:rPr>
        <w:t>4.92%；银行贷款存在一定风险，其收益率高于前者，为</w:t>
      </w:r>
      <w:r>
        <w:rPr>
          <w:rFonts w:ascii="宋体" w:hAnsi="宋体" w:cs="宋体" w:eastAsia="宋体"/>
          <w:spacing w:val="-57"/>
        </w:rPr>
        <w:t> </w:t>
      </w:r>
      <w:r>
        <w:rPr>
          <w:rFonts w:ascii="宋体" w:hAnsi="宋体" w:cs="宋体" w:eastAsia="宋体"/>
        </w:rPr>
        <w:t>4.35%；投资在房</w:t>
      </w:r>
      <w:r>
        <w:rPr>
          <w:rFonts w:ascii="宋体" w:hAnsi="宋体" w:cs="宋体" w:eastAsia="宋体"/>
          <w:spacing w:val="-136"/>
        </w:rPr>
        <w:t> </w:t>
      </w:r>
      <w:r>
        <w:rPr>
          <w:rFonts w:ascii="宋体" w:hAnsi="宋体" w:cs="宋体" w:eastAsia="宋体"/>
          <w:spacing w:val="-136"/>
        </w:rPr>
      </w:r>
      <w:r>
        <w:rPr>
          <w:rFonts w:ascii="宋体" w:hAnsi="宋体" w:cs="宋体" w:eastAsia="宋体"/>
          <w:spacing w:val="2"/>
        </w:rPr>
        <w:t>地产开发方面风险较大，其法定利润率为</w:t>
      </w:r>
      <w:r>
        <w:rPr>
          <w:rFonts w:ascii="宋体" w:hAnsi="宋体" w:cs="宋体" w:eastAsia="宋体"/>
          <w:spacing w:val="-43"/>
        </w:rPr>
        <w:t> </w:t>
      </w:r>
      <w:r>
        <w:rPr>
          <w:rFonts w:ascii="宋体" w:hAnsi="宋体" w:cs="宋体" w:eastAsia="宋体"/>
        </w:rPr>
        <w:t>8-12%，平均为</w:t>
      </w:r>
      <w:r>
        <w:rPr>
          <w:rFonts w:ascii="宋体" w:hAnsi="宋体" w:cs="宋体" w:eastAsia="宋体"/>
          <w:spacing w:val="-43"/>
        </w:rPr>
        <w:t> </w:t>
      </w:r>
      <w:r>
        <w:rPr>
          <w:rFonts w:ascii="宋体" w:hAnsi="宋体" w:cs="宋体" w:eastAsia="宋体"/>
        </w:rPr>
        <w:t>9%；而投资在股</w:t>
      </w:r>
      <w:r>
        <w:rPr>
          <w:rFonts w:ascii="宋体" w:hAnsi="宋体" w:cs="宋体" w:eastAsia="宋体"/>
          <w:spacing w:val="-133"/>
        </w:rPr>
        <w:t> </w:t>
      </w:r>
      <w:r>
        <w:rPr>
          <w:rFonts w:ascii="宋体" w:hAnsi="宋体" w:cs="宋体" w:eastAsia="宋体"/>
          <w:spacing w:val="-133"/>
        </w:rPr>
      </w:r>
      <w:r>
        <w:rPr>
          <w:rFonts w:ascii="宋体" w:hAnsi="宋体" w:cs="宋体" w:eastAsia="宋体"/>
        </w:rPr>
        <w:t>市则风险更大，其收益亦可能更高，据此测得收益率为</w:t>
      </w:r>
      <w:r>
        <w:rPr>
          <w:rFonts w:ascii="宋体" w:hAnsi="宋体" w:cs="宋体" w:eastAsia="宋体"/>
          <w:spacing w:val="-88"/>
        </w:rPr>
        <w:t> </w:t>
      </w:r>
      <w:r>
        <w:rPr>
          <w:rFonts w:ascii="宋体" w:hAnsi="宋体" w:cs="宋体" w:eastAsia="宋体"/>
        </w:rPr>
        <w:t>8%-15%。</w:t>
      </w:r>
    </w:p>
    <w:p>
      <w:pPr>
        <w:pStyle w:val="BodyText"/>
        <w:spacing w:line="240" w:lineRule="auto"/>
        <w:ind w:left="677" w:right="0"/>
        <w:jc w:val="left"/>
        <w:rPr>
          <w:rFonts w:ascii="宋体" w:hAnsi="宋体" w:cs="宋体" w:eastAsia="宋体"/>
        </w:rPr>
      </w:pPr>
      <w:r>
        <w:rPr>
          <w:rFonts w:ascii="宋体" w:hAnsi="宋体" w:cs="宋体" w:eastAsia="宋体"/>
          <w:spacing w:val="-2"/>
        </w:rPr>
        <w:t>综合上述二种方法测算结果，最终确定本次采用的收益率为</w:t>
      </w:r>
      <w:r>
        <w:rPr>
          <w:rFonts w:ascii="宋体" w:hAnsi="宋体" w:cs="宋体" w:eastAsia="宋体"/>
          <w:spacing w:val="-26"/>
        </w:rPr>
        <w:t> </w:t>
      </w:r>
      <w:r>
        <w:rPr>
          <w:rFonts w:ascii="宋体" w:hAnsi="宋体" w:cs="宋体" w:eastAsia="宋体"/>
          <w:spacing w:val="-2"/>
        </w:rPr>
        <w:t>12.6%。</w:t>
      </w:r>
    </w:p>
    <w:p>
      <w:pPr>
        <w:spacing w:line="240" w:lineRule="auto" w:before="9"/>
        <w:rPr>
          <w:rFonts w:ascii="宋体" w:hAnsi="宋体" w:cs="宋体" w:eastAsia="宋体"/>
          <w:sz w:val="19"/>
          <w:szCs w:val="19"/>
        </w:rPr>
      </w:pPr>
    </w:p>
    <w:p>
      <w:pPr>
        <w:pStyle w:val="BodyText"/>
        <w:spacing w:line="240" w:lineRule="auto" w:before="0"/>
        <w:ind w:left="677" w:right="0"/>
        <w:jc w:val="left"/>
        <w:rPr>
          <w:rFonts w:ascii="宋体" w:hAnsi="宋体" w:cs="宋体" w:eastAsia="宋体"/>
        </w:rPr>
      </w:pPr>
      <w:r>
        <w:rPr>
          <w:rFonts w:ascii="宋体" w:hAnsi="宋体" w:cs="宋体" w:eastAsia="宋体"/>
        </w:rPr>
        <w:t>（4）租金增长率</w:t>
      </w:r>
    </w:p>
    <w:p>
      <w:pPr>
        <w:spacing w:line="240" w:lineRule="auto" w:before="9"/>
        <w:rPr>
          <w:rFonts w:ascii="宋体" w:hAnsi="宋体" w:cs="宋体" w:eastAsia="宋体"/>
          <w:sz w:val="19"/>
          <w:szCs w:val="19"/>
        </w:rPr>
      </w:pPr>
    </w:p>
    <w:p>
      <w:pPr>
        <w:pStyle w:val="BodyText"/>
        <w:spacing w:line="408" w:lineRule="auto" w:before="0"/>
        <w:ind w:right="0" w:firstLine="1399"/>
        <w:jc w:val="left"/>
        <w:rPr>
          <w:rFonts w:ascii="宋体" w:hAnsi="宋体" w:cs="宋体" w:eastAsia="宋体"/>
        </w:rPr>
      </w:pPr>
      <w:r>
        <w:rPr>
          <w:rFonts w:ascii="宋体" w:hAnsi="宋体" w:cs="宋体" w:eastAsia="宋体"/>
          <w:spacing w:val="2"/>
        </w:rPr>
        <w:t>根据资产的实际情况，估价人员经过市场调查目前同地区同类</w:t>
      </w:r>
      <w:r>
        <w:rPr>
          <w:rFonts w:ascii="宋体" w:hAnsi="宋体" w:cs="宋体" w:eastAsia="宋体"/>
          <w:w w:val="100"/>
        </w:rPr>
        <w:t> </w:t>
      </w:r>
      <w:r>
        <w:rPr>
          <w:rFonts w:ascii="宋体" w:hAnsi="宋体" w:cs="宋体" w:eastAsia="宋体"/>
        </w:rPr>
        <w:t>型的房屋，确定年租金增长率为</w:t>
      </w:r>
      <w:r>
        <w:rPr>
          <w:rFonts w:ascii="宋体" w:hAnsi="宋体" w:cs="宋体" w:eastAsia="宋体"/>
          <w:spacing w:val="-79"/>
        </w:rPr>
        <w:t> </w:t>
      </w:r>
      <w:r>
        <w:rPr>
          <w:rFonts w:ascii="宋体" w:hAnsi="宋体" w:cs="宋体" w:eastAsia="宋体"/>
        </w:rPr>
        <w:t>2%。</w:t>
      </w:r>
    </w:p>
    <w:p>
      <w:pPr>
        <w:pStyle w:val="BodyText"/>
        <w:spacing w:line="408" w:lineRule="auto"/>
        <w:ind w:left="677" w:right="0"/>
        <w:jc w:val="left"/>
        <w:rPr>
          <w:rFonts w:ascii="宋体" w:hAnsi="宋体" w:cs="宋体" w:eastAsia="宋体"/>
        </w:rPr>
      </w:pPr>
      <w:r>
        <w:rPr>
          <w:rFonts w:ascii="宋体" w:hAnsi="宋体" w:cs="宋体" w:eastAsia="宋体"/>
        </w:rPr>
        <w:t>5、收益法评估结果</w:t>
      </w:r>
      <w:r>
        <w:rPr>
          <w:rFonts w:ascii="宋体" w:hAnsi="宋体" w:cs="宋体" w:eastAsia="宋体"/>
          <w:w w:val="100"/>
        </w:rPr>
        <w:t> </w:t>
      </w:r>
      <w:r>
        <w:rPr>
          <w:rFonts w:ascii="宋体" w:hAnsi="宋体" w:cs="宋体" w:eastAsia="宋体"/>
          <w:spacing w:val="2"/>
        </w:rPr>
        <w:t>经过履行资产核查、取价依据调查和评定估算等程序，对牙鲆鱼养殖</w:t>
      </w:r>
    </w:p>
    <w:p>
      <w:pPr>
        <w:pStyle w:val="BodyText"/>
        <w:spacing w:line="240" w:lineRule="auto"/>
        <w:ind w:right="0"/>
        <w:jc w:val="left"/>
        <w:rPr>
          <w:rFonts w:ascii="宋体" w:hAnsi="宋体" w:cs="宋体" w:eastAsia="宋体"/>
        </w:rPr>
      </w:pPr>
      <w:r>
        <w:rPr>
          <w:rFonts w:ascii="宋体" w:hAnsi="宋体" w:cs="宋体" w:eastAsia="宋体"/>
          <w:spacing w:val="-2"/>
        </w:rPr>
        <w:t>示范开发项目中涉及的房屋在评估基准日的评估结果为：125177</w:t>
      </w:r>
      <w:r>
        <w:rPr>
          <w:rFonts w:ascii="宋体" w:hAnsi="宋体" w:cs="宋体" w:eastAsia="宋体"/>
          <w:spacing w:val="-24"/>
        </w:rPr>
        <w:t> </w:t>
      </w:r>
      <w:r>
        <w:rPr>
          <w:rFonts w:ascii="宋体" w:hAnsi="宋体" w:cs="宋体" w:eastAsia="宋体"/>
          <w:spacing w:val="-1"/>
        </w:rPr>
        <w:t>元。</w:t>
      </w:r>
    </w:p>
    <w:p>
      <w:pPr>
        <w:pStyle w:val="BodyText"/>
        <w:tabs>
          <w:tab w:pos="958" w:val="left" w:leader="none"/>
        </w:tabs>
        <w:spacing w:line="350" w:lineRule="auto" w:before="168"/>
        <w:ind w:left="677" w:right="113" w:hanging="140"/>
        <w:jc w:val="left"/>
        <w:rPr>
          <w:rFonts w:ascii="宋体" w:hAnsi="宋体" w:cs="宋体" w:eastAsia="宋体"/>
        </w:rPr>
      </w:pPr>
      <w:r>
        <w:rPr>
          <w:rFonts w:ascii="Wingdings" w:hAnsi="Wingdings" w:cs="Wingdings" w:eastAsia="Wingdings"/>
        </w:rPr>
        <w:t></w:t>
      </w:r>
      <w:r>
        <w:rPr>
          <w:rFonts w:ascii="Times New Roman" w:hAnsi="Times New Roman" w:cs="Times New Roman" w:eastAsia="Times New Roman"/>
        </w:rPr>
        <w:tab/>
      </w:r>
      <w:bookmarkStart w:name="评估结果及分析" w:id="44"/>
      <w:bookmarkEnd w:id="44"/>
      <w:r>
        <w:rPr>
          <w:rFonts w:ascii="Times New Roman" w:hAnsi="Times New Roman" w:cs="Times New Roman" w:eastAsia="Times New Roman"/>
        </w:rPr>
      </w:r>
      <w:r>
        <w:rPr>
          <w:rFonts w:ascii="Microsoft JhengHei" w:hAnsi="Microsoft JhengHei" w:cs="Microsoft JhengHei" w:eastAsia="Microsoft JhengHei"/>
          <w:b/>
          <w:bCs/>
        </w:rPr>
        <w:t>评估结果及分析</w:t>
      </w:r>
      <w:r>
        <w:rPr>
          <w:rFonts w:ascii="Microsoft JhengHei" w:hAnsi="Microsoft JhengHei" w:cs="Microsoft JhengHei" w:eastAsia="Microsoft JhengHei"/>
          <w:b/>
          <w:bCs/>
          <w:spacing w:val="-66"/>
        </w:rPr>
        <w:t> </w:t>
      </w:r>
      <w:r>
        <w:rPr>
          <w:rFonts w:ascii="Microsoft JhengHei" w:hAnsi="Microsoft JhengHei" w:cs="Microsoft JhengHei" w:eastAsia="Microsoft JhengHei"/>
          <w:b/>
          <w:bCs/>
          <w:spacing w:val="-66"/>
        </w:rPr>
      </w:r>
      <w:r>
        <w:rPr>
          <w:rFonts w:ascii="宋体" w:hAnsi="宋体" w:cs="宋体" w:eastAsia="宋体"/>
          <w:spacing w:val="-3"/>
        </w:rPr>
        <w:t>1、采用成本法，牙鲆鱼养殖示范开发项目中涉及的房屋在评估基准日</w:t>
      </w:r>
    </w:p>
    <w:p>
      <w:pPr>
        <w:pStyle w:val="BodyText"/>
        <w:spacing w:line="408" w:lineRule="auto" w:before="128"/>
        <w:ind w:left="677" w:right="0" w:hanging="560"/>
        <w:jc w:val="left"/>
        <w:rPr>
          <w:rFonts w:ascii="宋体" w:hAnsi="宋体" w:cs="宋体" w:eastAsia="宋体"/>
        </w:rPr>
      </w:pPr>
      <w:r>
        <w:rPr>
          <w:rFonts w:ascii="宋体" w:hAnsi="宋体" w:cs="宋体" w:eastAsia="宋体"/>
        </w:rPr>
        <w:t>的评估结果为：124327</w:t>
      </w:r>
      <w:r>
        <w:rPr>
          <w:rFonts w:ascii="宋体" w:hAnsi="宋体" w:cs="宋体" w:eastAsia="宋体"/>
          <w:spacing w:val="-71"/>
        </w:rPr>
        <w:t> </w:t>
      </w:r>
      <w:r>
        <w:rPr>
          <w:rFonts w:ascii="宋体" w:hAnsi="宋体" w:cs="宋体" w:eastAsia="宋体"/>
        </w:rPr>
        <w:t>元。</w:t>
      </w:r>
      <w:r>
        <w:rPr>
          <w:rFonts w:ascii="宋体" w:hAnsi="宋体" w:cs="宋体" w:eastAsia="宋体"/>
          <w:w w:val="100"/>
        </w:rPr>
        <w:t> </w:t>
      </w:r>
      <w:r>
        <w:rPr>
          <w:rFonts w:ascii="宋体" w:hAnsi="宋体" w:cs="宋体" w:eastAsia="宋体"/>
          <w:spacing w:val="-3"/>
        </w:rPr>
        <w:t>2、采用收益法，牙鲆鱼养殖示范开发项目中涉及的房屋在评估基准日</w:t>
      </w:r>
    </w:p>
    <w:p>
      <w:pPr>
        <w:pStyle w:val="BodyText"/>
        <w:spacing w:line="408" w:lineRule="auto"/>
        <w:ind w:left="677" w:right="0" w:hanging="560"/>
        <w:jc w:val="left"/>
        <w:rPr>
          <w:rFonts w:ascii="宋体" w:hAnsi="宋体" w:cs="宋体" w:eastAsia="宋体"/>
        </w:rPr>
      </w:pPr>
      <w:r>
        <w:rPr>
          <w:rFonts w:ascii="宋体" w:hAnsi="宋体" w:cs="宋体" w:eastAsia="宋体"/>
        </w:rPr>
        <w:t>的评估结果为：125177</w:t>
      </w:r>
      <w:r>
        <w:rPr>
          <w:rFonts w:ascii="宋体" w:hAnsi="宋体" w:cs="宋体" w:eastAsia="宋体"/>
          <w:spacing w:val="-71"/>
        </w:rPr>
        <w:t> </w:t>
      </w:r>
      <w:r>
        <w:rPr>
          <w:rFonts w:ascii="宋体" w:hAnsi="宋体" w:cs="宋体" w:eastAsia="宋体"/>
        </w:rPr>
        <w:t>元。</w:t>
      </w:r>
      <w:r>
        <w:rPr>
          <w:rFonts w:ascii="宋体" w:hAnsi="宋体" w:cs="宋体" w:eastAsia="宋体"/>
          <w:w w:val="100"/>
        </w:rPr>
        <w:t> </w:t>
      </w:r>
      <w:r>
        <w:rPr>
          <w:rFonts w:ascii="宋体" w:hAnsi="宋体" w:cs="宋体" w:eastAsia="宋体"/>
          <w:spacing w:val="-3"/>
        </w:rPr>
        <w:t>3、本次估价采用两种方法测算过程正确、参数合理、测算结果相差不</w:t>
      </w:r>
    </w:p>
    <w:p>
      <w:pPr>
        <w:pStyle w:val="BodyText"/>
        <w:spacing w:line="408" w:lineRule="auto"/>
        <w:ind w:right="113"/>
        <w:jc w:val="both"/>
        <w:rPr>
          <w:rFonts w:ascii="宋体" w:hAnsi="宋体" w:cs="宋体" w:eastAsia="宋体"/>
        </w:rPr>
      </w:pPr>
      <w:r>
        <w:rPr>
          <w:rFonts w:ascii="宋体" w:hAnsi="宋体" w:cs="宋体" w:eastAsia="宋体"/>
          <w:spacing w:val="2"/>
        </w:rPr>
        <w:t>大且均能准确反映待估宗地真实价值，故本次评估以两种方法的简单算术</w:t>
      </w:r>
      <w:r>
        <w:rPr>
          <w:rFonts w:ascii="宋体" w:hAnsi="宋体" w:cs="宋体" w:eastAsia="宋体"/>
          <w:spacing w:val="-101"/>
        </w:rPr>
        <w:t> </w:t>
      </w:r>
      <w:r>
        <w:rPr>
          <w:rFonts w:ascii="宋体" w:hAnsi="宋体" w:cs="宋体" w:eastAsia="宋体"/>
          <w:spacing w:val="-101"/>
        </w:rPr>
      </w:r>
      <w:r>
        <w:rPr>
          <w:rFonts w:ascii="宋体" w:hAnsi="宋体" w:cs="宋体" w:eastAsia="宋体"/>
          <w:spacing w:val="-2"/>
        </w:rPr>
        <w:t>平均值作为最终测算结果，（124327+125177）/2=124752</w:t>
      </w:r>
      <w:r>
        <w:rPr>
          <w:rFonts w:ascii="宋体" w:hAnsi="宋体" w:cs="宋体" w:eastAsia="宋体"/>
          <w:spacing w:val="-8"/>
        </w:rPr>
        <w:t> </w:t>
      </w:r>
      <w:r>
        <w:rPr>
          <w:rFonts w:ascii="宋体" w:hAnsi="宋体" w:cs="宋体" w:eastAsia="宋体"/>
          <w:spacing w:val="-2"/>
        </w:rPr>
        <w:t>元（取整）</w:t>
      </w:r>
    </w:p>
    <w:p>
      <w:pPr>
        <w:spacing w:line="350" w:lineRule="auto" w:before="61"/>
        <w:ind w:left="118" w:right="0" w:firstLine="559"/>
        <w:jc w:val="left"/>
        <w:rPr>
          <w:rFonts w:ascii="宋体" w:hAnsi="宋体" w:cs="宋体" w:eastAsia="宋体"/>
          <w:sz w:val="28"/>
          <w:szCs w:val="28"/>
        </w:rPr>
      </w:pPr>
      <w:r>
        <w:rPr>
          <w:rFonts w:ascii="宋体" w:hAnsi="宋体" w:cs="宋体" w:eastAsia="宋体"/>
          <w:spacing w:val="6"/>
          <w:sz w:val="28"/>
          <w:szCs w:val="28"/>
        </w:rPr>
        <w:t>4、牙鲆鱼养殖示范开发项目中涉及的房屋在评估基准日的评估结果</w:t>
      </w:r>
      <w:r>
        <w:rPr>
          <w:rFonts w:ascii="宋体" w:hAnsi="宋体" w:cs="宋体" w:eastAsia="宋体"/>
          <w:w w:val="100"/>
          <w:sz w:val="28"/>
          <w:szCs w:val="28"/>
        </w:rPr>
        <w:t> </w:t>
      </w:r>
      <w:r>
        <w:rPr>
          <w:rFonts w:ascii="宋体" w:hAnsi="宋体" w:cs="宋体" w:eastAsia="宋体"/>
          <w:sz w:val="28"/>
          <w:szCs w:val="28"/>
        </w:rPr>
        <w:t>为：124752</w:t>
      </w:r>
      <w:r>
        <w:rPr>
          <w:rFonts w:ascii="宋体" w:hAnsi="宋体" w:cs="宋体" w:eastAsia="宋体"/>
          <w:spacing w:val="-70"/>
          <w:sz w:val="28"/>
          <w:szCs w:val="28"/>
        </w:rPr>
        <w:t> </w:t>
      </w:r>
      <w:r>
        <w:rPr>
          <w:rFonts w:ascii="宋体" w:hAnsi="宋体" w:cs="宋体" w:eastAsia="宋体"/>
          <w:sz w:val="28"/>
          <w:szCs w:val="28"/>
        </w:rPr>
        <w:t>元，大写</w:t>
      </w:r>
      <w:r>
        <w:rPr>
          <w:rFonts w:ascii="Microsoft JhengHei" w:hAnsi="Microsoft JhengHei" w:cs="Microsoft JhengHei" w:eastAsia="Microsoft JhengHei"/>
          <w:b/>
          <w:bCs/>
          <w:sz w:val="28"/>
          <w:szCs w:val="28"/>
        </w:rPr>
        <w:t>人民币壹拾贰万肆仟柒佰伍拾贰元整</w:t>
      </w:r>
      <w:r>
        <w:rPr>
          <w:rFonts w:ascii="宋体" w:hAnsi="宋体" w:cs="宋体" w:eastAsia="宋体"/>
          <w:sz w:val="28"/>
          <w:szCs w:val="28"/>
        </w:rPr>
        <w:t>。</w:t>
      </w:r>
    </w:p>
    <w:p>
      <w:pPr>
        <w:pStyle w:val="BodyText"/>
        <w:spacing w:line="240" w:lineRule="auto" w:before="54"/>
        <w:ind w:right="0"/>
        <w:jc w:val="left"/>
        <w:rPr>
          <w:rFonts w:ascii="宋体" w:hAnsi="宋体" w:cs="宋体" w:eastAsia="宋体"/>
        </w:rPr>
      </w:pPr>
      <w:r>
        <w:rPr>
          <w:rFonts w:ascii="Wingdings" w:hAnsi="Wingdings" w:cs="Wingdings" w:eastAsia="Wingdings"/>
        </w:rPr>
        <w:t></w:t>
      </w:r>
      <w:r>
        <w:rPr>
          <w:rFonts w:ascii="Wingdings" w:hAnsi="Wingdings" w:cs="Wingdings" w:eastAsia="Wingdings"/>
          <w:spacing w:val="-87"/>
        </w:rPr>
        <w:t></w:t>
      </w:r>
      <w:r>
        <w:rPr>
          <w:rFonts w:ascii="Times New Roman" w:hAnsi="Times New Roman" w:cs="Times New Roman" w:eastAsia="Times New Roman"/>
          <w:spacing w:val="-87"/>
        </w:rPr>
      </w:r>
      <w:bookmarkStart w:name="设备类资产评估" w:id="45"/>
      <w:bookmarkEnd w:id="45"/>
      <w:r>
        <w:rPr>
          <w:rFonts w:ascii="Times New Roman" w:hAnsi="Times New Roman" w:cs="Times New Roman" w:eastAsia="Times New Roman"/>
          <w:spacing w:val="-87"/>
        </w:rPr>
      </w:r>
      <w:r>
        <w:rPr>
          <w:rFonts w:ascii="宋体" w:hAnsi="宋体" w:cs="宋体" w:eastAsia="宋体"/>
        </w:rPr>
        <w:t>设备类资产评估</w:t>
      </w:r>
    </w:p>
    <w:p>
      <w:pPr>
        <w:spacing w:after="0" w:line="240" w:lineRule="auto"/>
        <w:jc w:val="left"/>
        <w:rPr>
          <w:rFonts w:ascii="宋体" w:hAnsi="宋体" w:cs="宋体" w:eastAsia="宋体"/>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pStyle w:val="BodyText"/>
        <w:spacing w:line="408" w:lineRule="auto" w:before="146"/>
        <w:ind w:left="656" w:right="0"/>
        <w:jc w:val="left"/>
      </w:pPr>
      <w:r>
        <w:rPr/>
        <w:t>根据评估目的和被评估设备的特点，主要采用成本法进行评估。</w:t>
      </w:r>
      <w:r>
        <w:rPr>
          <w:w w:val="100"/>
        </w:rPr>
        <w:t> </w:t>
      </w:r>
      <w:r>
        <w:rPr/>
        <w:t>本项目中涉及的机器设备评估方法的取舍理由：</w:t>
      </w:r>
      <w:r>
        <w:rPr>
          <w:w w:val="100"/>
        </w:rPr>
        <w:t> </w:t>
      </w:r>
      <w:r>
        <w:rPr>
          <w:spacing w:val="2"/>
        </w:rPr>
        <w:t>由于缺乏与被评估对象可比的交易实例，以及将其与评估对象对比分</w:t>
      </w:r>
    </w:p>
    <w:p>
      <w:pPr>
        <w:pStyle w:val="BodyText"/>
        <w:spacing w:line="408" w:lineRule="auto"/>
        <w:ind w:right="113"/>
        <w:jc w:val="both"/>
      </w:pPr>
      <w:r>
        <w:rPr>
          <w:spacing w:val="2"/>
        </w:rPr>
        <w:t>析所需要的相关资料，不具备采用市场法进行评估的操作条件，故本项目</w:t>
      </w:r>
      <w:r>
        <w:rPr>
          <w:spacing w:val="-101"/>
        </w:rPr>
        <w:t> </w:t>
      </w:r>
      <w:r>
        <w:rPr>
          <w:spacing w:val="-101"/>
        </w:rPr>
      </w:r>
      <w:r>
        <w:rPr/>
        <w:t>中涉及的机器设备的评估方法不采用市场法；</w:t>
      </w:r>
    </w:p>
    <w:p>
      <w:pPr>
        <w:pStyle w:val="BodyText"/>
        <w:spacing w:line="408" w:lineRule="auto"/>
        <w:ind w:right="113" w:firstLine="537"/>
        <w:jc w:val="both"/>
      </w:pPr>
      <w:r>
        <w:rPr>
          <w:spacing w:val="2"/>
        </w:rPr>
        <w:t>市场的多变性及未来收益难以预测性，同时我们也未能够收集到分析</w:t>
      </w:r>
      <w:r>
        <w:rPr>
          <w:w w:val="100"/>
        </w:rPr>
        <w:t> </w:t>
      </w:r>
      <w:r>
        <w:rPr>
          <w:spacing w:val="2"/>
        </w:rPr>
        <w:t>被评估对象历史状况、预测其未来收益及风险所需的必要资料，限制了收</w:t>
      </w:r>
      <w:r>
        <w:rPr>
          <w:spacing w:val="-101"/>
        </w:rPr>
        <w:t> </w:t>
      </w:r>
      <w:r>
        <w:rPr>
          <w:spacing w:val="-101"/>
        </w:rPr>
      </w:r>
      <w:r>
        <w:rPr>
          <w:spacing w:val="2"/>
        </w:rPr>
        <w:t>益法的使用，本次评估不具备采用收益法实施评估的操作条件，故本项目</w:t>
      </w:r>
      <w:r>
        <w:rPr>
          <w:spacing w:val="-101"/>
        </w:rPr>
        <w:t> </w:t>
      </w:r>
      <w:r>
        <w:rPr>
          <w:spacing w:val="-101"/>
        </w:rPr>
      </w:r>
      <w:r>
        <w:rPr/>
        <w:t>中涉及的机器设备的评估方法不采用收益法；；</w:t>
      </w:r>
    </w:p>
    <w:p>
      <w:pPr>
        <w:pStyle w:val="BodyText"/>
        <w:spacing w:line="408" w:lineRule="auto"/>
        <w:ind w:right="113" w:firstLine="537"/>
        <w:jc w:val="both"/>
      </w:pPr>
      <w:r>
        <w:rPr>
          <w:spacing w:val="2"/>
        </w:rPr>
        <w:t>本次评估的机器设备的重置成本能够准确取得，也可以根据资产状况</w:t>
      </w:r>
      <w:r>
        <w:rPr>
          <w:w w:val="100"/>
        </w:rPr>
        <w:t> </w:t>
      </w:r>
      <w:r>
        <w:rPr>
          <w:spacing w:val="2"/>
        </w:rPr>
        <w:t>确定成新率，所以符合成本法的应用条件及使用范围，故本项目中涉及的</w:t>
      </w:r>
      <w:r>
        <w:rPr>
          <w:spacing w:val="-101"/>
        </w:rPr>
        <w:t> </w:t>
      </w:r>
      <w:r>
        <w:rPr>
          <w:spacing w:val="-101"/>
        </w:rPr>
      </w:r>
      <w:r>
        <w:rPr/>
        <w:t>机器设备的评估方法选取成本法。</w:t>
      </w:r>
    </w:p>
    <w:p>
      <w:pPr>
        <w:pStyle w:val="BodyText"/>
        <w:spacing w:line="240" w:lineRule="auto"/>
        <w:ind w:left="656" w:right="0"/>
        <w:jc w:val="left"/>
      </w:pPr>
      <w:r>
        <w:rPr/>
        <w:t>采用成本法评估的：评估价值＝全价×综合成新率</w:t>
      </w:r>
    </w:p>
    <w:p>
      <w:pPr>
        <w:spacing w:line="240" w:lineRule="auto" w:before="9"/>
        <w:rPr>
          <w:rFonts w:ascii="仿宋" w:hAnsi="仿宋" w:cs="仿宋" w:eastAsia="仿宋"/>
          <w:sz w:val="19"/>
          <w:szCs w:val="19"/>
        </w:rPr>
      </w:pPr>
    </w:p>
    <w:p>
      <w:pPr>
        <w:pStyle w:val="BodyText"/>
        <w:spacing w:line="408" w:lineRule="auto" w:before="0"/>
        <w:ind w:left="656" w:right="0"/>
        <w:jc w:val="left"/>
      </w:pPr>
      <w:r>
        <w:rPr/>
        <w:t>（1）设备全价的确定</w:t>
      </w:r>
      <w:r>
        <w:rPr>
          <w:w w:val="100"/>
        </w:rPr>
        <w:t> </w:t>
      </w:r>
      <w:r>
        <w:rPr>
          <w:spacing w:val="2"/>
        </w:rPr>
        <w:t>全价一般包括设备购置费、运杂费、安装调试费、前期和其他费用和</w:t>
      </w:r>
    </w:p>
    <w:p>
      <w:pPr>
        <w:pStyle w:val="BodyText"/>
        <w:spacing w:line="408" w:lineRule="auto"/>
        <w:ind w:right="113"/>
        <w:jc w:val="both"/>
      </w:pPr>
      <w:r>
        <w:rPr>
          <w:spacing w:val="2"/>
        </w:rPr>
        <w:t>资金成本；设备购置费以外费用（成本）的计取内容和方式，根据相关设</w:t>
      </w:r>
      <w:r>
        <w:rPr>
          <w:spacing w:val="-101"/>
        </w:rPr>
        <w:t> </w:t>
      </w:r>
      <w:r>
        <w:rPr>
          <w:spacing w:val="-101"/>
        </w:rPr>
      </w:r>
      <w:r>
        <w:rPr>
          <w:spacing w:val="2"/>
        </w:rPr>
        <w:t>备特点、评估中获得的设备价格口径及交易条件加以确定。被评估单位为</w:t>
      </w:r>
      <w:r>
        <w:rPr>
          <w:spacing w:val="-103"/>
        </w:rPr>
        <w:t> </w:t>
      </w:r>
      <w:r>
        <w:rPr>
          <w:spacing w:val="-103"/>
        </w:rPr>
      </w:r>
      <w:r>
        <w:rPr>
          <w:spacing w:val="2"/>
        </w:rPr>
        <w:t>增值税一般纳税人，根据《中华人民共和国增值税暂行条例》，全价不包</w:t>
      </w:r>
      <w:r>
        <w:rPr>
          <w:spacing w:val="-103"/>
        </w:rPr>
        <w:t> </w:t>
      </w:r>
      <w:r>
        <w:rPr>
          <w:spacing w:val="-103"/>
        </w:rPr>
      </w:r>
      <w:r>
        <w:rPr/>
        <w:t>括设备购置、运输环节涉及的增值税进项税。</w:t>
      </w:r>
    </w:p>
    <w:p>
      <w:pPr>
        <w:pStyle w:val="BodyText"/>
        <w:spacing w:line="408" w:lineRule="auto"/>
        <w:ind w:left="656" w:right="0"/>
        <w:jc w:val="left"/>
      </w:pPr>
      <w:r>
        <w:rPr/>
        <w:t>其中：</w:t>
      </w:r>
      <w:r>
        <w:rPr>
          <w:w w:val="100"/>
        </w:rPr>
        <w:t> </w:t>
      </w:r>
      <w:r>
        <w:rPr>
          <w:spacing w:val="2"/>
        </w:rPr>
        <w:t>设备购置费根据相关设备的近期成交价格、对供应厂商的询价结果，</w:t>
      </w:r>
    </w:p>
    <w:p>
      <w:pPr>
        <w:pStyle w:val="BodyText"/>
        <w:spacing w:line="240" w:lineRule="auto"/>
        <w:ind w:right="0"/>
        <w:jc w:val="both"/>
      </w:pPr>
      <w:r>
        <w:rPr>
          <w:spacing w:val="2"/>
        </w:rPr>
        <w:t>以及评估人员搜集的其他公开价格信息加以确定。对无法取得直接价格资</w:t>
      </w:r>
    </w:p>
    <w:p>
      <w:pPr>
        <w:spacing w:after="0" w:line="240" w:lineRule="auto"/>
        <w:jc w:val="both"/>
        <w:sectPr>
          <w:footerReference w:type="default" r:id="rId11"/>
          <w:pgSz w:w="11910" w:h="16840"/>
          <w:pgMar w:footer="1196" w:header="878" w:top="1100" w:bottom="1380" w:left="1300" w:right="1300"/>
          <w:pgNumType w:start="20"/>
        </w:sectPr>
      </w:pPr>
    </w:p>
    <w:p>
      <w:pPr>
        <w:spacing w:line="240" w:lineRule="auto" w:before="0"/>
        <w:rPr>
          <w:rFonts w:ascii="仿宋" w:hAnsi="仿宋" w:cs="仿宋" w:eastAsia="仿宋"/>
          <w:sz w:val="20"/>
          <w:szCs w:val="20"/>
        </w:rPr>
      </w:pPr>
    </w:p>
    <w:p>
      <w:pPr>
        <w:pStyle w:val="BodyText"/>
        <w:spacing w:line="408" w:lineRule="auto" w:before="146"/>
        <w:ind w:right="0"/>
        <w:jc w:val="left"/>
      </w:pPr>
      <w:r>
        <w:rPr>
          <w:spacing w:val="2"/>
        </w:rPr>
        <w:t>料的设备，采用替代产品信息进行修正，无法实施替代修正的，在对其原</w:t>
      </w:r>
      <w:r>
        <w:rPr>
          <w:spacing w:val="-101"/>
        </w:rPr>
        <w:t> </w:t>
      </w:r>
      <w:r>
        <w:rPr>
          <w:spacing w:val="-101"/>
        </w:rPr>
      </w:r>
      <w:r>
        <w:rPr/>
        <w:t>始购置成本实施合理性核查的基础上，采用物价指数调整法加以确定。</w:t>
      </w:r>
    </w:p>
    <w:p>
      <w:pPr>
        <w:pStyle w:val="BodyText"/>
        <w:spacing w:line="408" w:lineRule="auto"/>
        <w:ind w:right="116" w:firstLine="537"/>
        <w:jc w:val="both"/>
      </w:pPr>
      <w:r>
        <w:rPr>
          <w:spacing w:val="2"/>
        </w:rPr>
        <w:t>运杂费主要由采购费、运输费、装卸费、保管费等构成。根据被评估</w:t>
      </w:r>
      <w:r>
        <w:rPr>
          <w:w w:val="100"/>
        </w:rPr>
        <w:t> </w:t>
      </w:r>
      <w:r>
        <w:rPr/>
        <w:t>设备的类型、运距、运输方式等加以确定。</w:t>
      </w:r>
    </w:p>
    <w:p>
      <w:pPr>
        <w:pStyle w:val="BodyText"/>
        <w:spacing w:line="408" w:lineRule="auto"/>
        <w:ind w:right="113" w:firstLine="537"/>
        <w:jc w:val="both"/>
      </w:pPr>
      <w:r>
        <w:rPr>
          <w:spacing w:val="2"/>
        </w:rPr>
        <w:t>安装调试费，根据被评估设备的用途、特点、安装难易程度等加以确</w:t>
      </w:r>
      <w:r>
        <w:rPr>
          <w:w w:val="100"/>
        </w:rPr>
        <w:t> </w:t>
      </w:r>
      <w:r>
        <w:rPr>
          <w:spacing w:val="2"/>
        </w:rPr>
        <w:t>定。对需单独设置基础的设备还根据其使用、荷载等计取基础费用（已在</w:t>
      </w:r>
      <w:r>
        <w:rPr>
          <w:spacing w:val="-101"/>
        </w:rPr>
        <w:t> </w:t>
      </w:r>
      <w:r>
        <w:rPr>
          <w:spacing w:val="-101"/>
        </w:rPr>
      </w:r>
      <w:r>
        <w:rPr/>
        <w:t>厂房建设统一考虑的除外）。</w:t>
      </w:r>
    </w:p>
    <w:p>
      <w:pPr>
        <w:pStyle w:val="BodyText"/>
        <w:spacing w:line="240" w:lineRule="auto"/>
        <w:ind w:left="656" w:right="0"/>
        <w:jc w:val="left"/>
      </w:pPr>
      <w:r>
        <w:rPr/>
        <w:t>对于电子设备，主要查询评估基准日相关报价资料确定。</w:t>
      </w:r>
    </w:p>
    <w:p>
      <w:pPr>
        <w:spacing w:line="240" w:lineRule="auto" w:before="9"/>
        <w:rPr>
          <w:rFonts w:ascii="仿宋" w:hAnsi="仿宋" w:cs="仿宋" w:eastAsia="仿宋"/>
          <w:sz w:val="19"/>
          <w:szCs w:val="19"/>
        </w:rPr>
      </w:pPr>
    </w:p>
    <w:p>
      <w:pPr>
        <w:pStyle w:val="BodyText"/>
        <w:spacing w:line="408" w:lineRule="auto" w:before="0"/>
        <w:ind w:left="656" w:right="0"/>
        <w:jc w:val="left"/>
      </w:pPr>
      <w:r>
        <w:rPr/>
        <w:t>（2）综合成新率的确定</w:t>
      </w:r>
      <w:r>
        <w:rPr>
          <w:w w:val="100"/>
        </w:rPr>
        <w:t> </w:t>
      </w:r>
      <w:r>
        <w:rPr>
          <w:spacing w:val="2"/>
        </w:rPr>
        <w:t>设备成新率一般有综合年限法和勘查打分法两种结果，按以下公式确</w:t>
      </w:r>
    </w:p>
    <w:p>
      <w:pPr>
        <w:pStyle w:val="BodyText"/>
        <w:spacing w:line="240" w:lineRule="auto"/>
        <w:ind w:right="0"/>
        <w:jc w:val="left"/>
      </w:pPr>
      <w:r>
        <w:rPr/>
        <w:t>定：</w:t>
      </w:r>
    </w:p>
    <w:p>
      <w:pPr>
        <w:spacing w:line="240" w:lineRule="auto" w:before="9"/>
        <w:rPr>
          <w:rFonts w:ascii="仿宋" w:hAnsi="仿宋" w:cs="仿宋" w:eastAsia="仿宋"/>
          <w:sz w:val="19"/>
          <w:szCs w:val="19"/>
        </w:rPr>
      </w:pPr>
    </w:p>
    <w:p>
      <w:pPr>
        <w:pStyle w:val="BodyText"/>
        <w:spacing w:line="408" w:lineRule="auto" w:before="0"/>
        <w:ind w:right="115" w:firstLine="537"/>
        <w:jc w:val="both"/>
      </w:pPr>
      <w:r>
        <w:rPr>
          <w:spacing w:val="6"/>
        </w:rPr>
        <w:t>综合成新率=勘查打分法确定的成新率×60%+年限法确定的理论成新</w:t>
      </w:r>
      <w:r>
        <w:rPr>
          <w:w w:val="100"/>
        </w:rPr>
        <w:t> </w:t>
      </w:r>
      <w:r>
        <w:rPr/>
        <w:t>率×40%</w:t>
      </w:r>
    </w:p>
    <w:p>
      <w:pPr>
        <w:pStyle w:val="BodyText"/>
        <w:spacing w:line="408" w:lineRule="auto"/>
        <w:ind w:left="656" w:right="0"/>
        <w:jc w:val="left"/>
      </w:pPr>
      <w:r>
        <w:rPr/>
        <w:t>其中：</w:t>
      </w:r>
      <w:r>
        <w:rPr>
          <w:w w:val="100"/>
        </w:rPr>
        <w:t> </w:t>
      </w:r>
      <w:r>
        <w:rPr>
          <w:spacing w:val="2"/>
        </w:rPr>
        <w:t>年限法成新率=设备尚可使用年限÷（设备已使用年限+设备尚可使用</w:t>
      </w:r>
    </w:p>
    <w:p>
      <w:pPr>
        <w:pStyle w:val="BodyText"/>
        <w:spacing w:line="240" w:lineRule="auto"/>
        <w:ind w:right="0"/>
        <w:jc w:val="left"/>
      </w:pPr>
      <w:r>
        <w:rPr/>
        <w:t>年限）×100%</w:t>
      </w:r>
    </w:p>
    <w:p>
      <w:pPr>
        <w:spacing w:line="240" w:lineRule="auto" w:before="9"/>
        <w:rPr>
          <w:rFonts w:ascii="仿宋" w:hAnsi="仿宋" w:cs="仿宋" w:eastAsia="仿宋"/>
          <w:sz w:val="19"/>
          <w:szCs w:val="19"/>
        </w:rPr>
      </w:pPr>
    </w:p>
    <w:p>
      <w:pPr>
        <w:pStyle w:val="BodyText"/>
        <w:spacing w:line="408" w:lineRule="auto" w:before="0"/>
        <w:ind w:right="116" w:firstLine="537"/>
        <w:jc w:val="both"/>
      </w:pPr>
      <w:r>
        <w:rPr>
          <w:spacing w:val="2"/>
        </w:rPr>
        <w:t>勘查打分法成新率，则根据被评估设备满足生产使用要求情况，由评</w:t>
      </w:r>
      <w:r>
        <w:rPr>
          <w:w w:val="100"/>
        </w:rPr>
        <w:t> </w:t>
      </w:r>
      <w:r>
        <w:rPr/>
        <w:t>估人员通过对设备使用条件、运行维护记录和实际状态勘查加以确定。</w:t>
      </w:r>
    </w:p>
    <w:p>
      <w:pPr>
        <w:pStyle w:val="BodyText"/>
        <w:spacing w:line="240" w:lineRule="auto"/>
        <w:ind w:left="656" w:right="0"/>
        <w:jc w:val="left"/>
      </w:pPr>
      <w:r>
        <w:rPr/>
        <w:t>价值量较小的电子设备，成新率按年限法成新率确定。</w:t>
      </w:r>
    </w:p>
    <w:p>
      <w:pPr>
        <w:tabs>
          <w:tab w:pos="538" w:val="left" w:leader="none"/>
        </w:tabs>
        <w:spacing w:before="168"/>
        <w:ind w:left="118" w:right="0" w:firstLine="0"/>
        <w:jc w:val="left"/>
        <w:rPr>
          <w:rFonts w:ascii="Microsoft JhengHei" w:hAnsi="Microsoft JhengHei" w:cs="Microsoft JhengHei" w:eastAsia="Microsoft JhengHei"/>
          <w:sz w:val="28"/>
          <w:szCs w:val="28"/>
        </w:rPr>
      </w:pPr>
      <w:r>
        <w:rPr>
          <w:rFonts w:ascii="Wingdings" w:hAnsi="Wingdings" w:cs="Wingdings" w:eastAsia="Wingdings"/>
          <w:sz w:val="28"/>
          <w:szCs w:val="28"/>
        </w:rPr>
        <w:t></w:t>
      </w:r>
      <w:r>
        <w:rPr>
          <w:rFonts w:ascii="Times New Roman" w:hAnsi="Times New Roman" w:cs="Times New Roman" w:eastAsia="Times New Roman"/>
          <w:sz w:val="28"/>
          <w:szCs w:val="28"/>
        </w:rPr>
        <w:tab/>
      </w:r>
      <w:bookmarkStart w:name="评估结果及分析" w:id="46"/>
      <w:bookmarkEnd w:id="46"/>
      <w:r>
        <w:rPr>
          <w:rFonts w:ascii="Times New Roman" w:hAnsi="Times New Roman" w:cs="Times New Roman" w:eastAsia="Times New Roman"/>
          <w:sz w:val="28"/>
          <w:szCs w:val="28"/>
        </w:rPr>
      </w:r>
      <w:r>
        <w:rPr>
          <w:rFonts w:ascii="Microsoft JhengHei" w:hAnsi="Microsoft JhengHei" w:cs="Microsoft JhengHei" w:eastAsia="Microsoft JhengHei"/>
          <w:b/>
          <w:bCs/>
          <w:sz w:val="28"/>
          <w:szCs w:val="28"/>
        </w:rPr>
        <w:t>评估结果及分析</w:t>
      </w:r>
      <w:r>
        <w:rPr>
          <w:rFonts w:ascii="Microsoft JhengHei" w:hAnsi="Microsoft JhengHei" w:cs="Microsoft JhengHei" w:eastAsia="Microsoft JhengHei"/>
          <w:sz w:val="28"/>
          <w:szCs w:val="28"/>
        </w:rPr>
      </w:r>
    </w:p>
    <w:p>
      <w:pPr>
        <w:pStyle w:val="BodyText"/>
        <w:spacing w:line="372" w:lineRule="auto" w:before="225"/>
        <w:ind w:right="115" w:firstLine="559"/>
        <w:jc w:val="both"/>
        <w:rPr>
          <w:rFonts w:ascii="宋体" w:hAnsi="宋体" w:cs="宋体" w:eastAsia="宋体"/>
        </w:rPr>
      </w:pPr>
      <w:r>
        <w:rPr>
          <w:rFonts w:ascii="Calibri" w:hAnsi="Calibri" w:cs="Calibri" w:eastAsia="Calibri"/>
          <w:spacing w:val="-3"/>
        </w:rPr>
        <w:t>1</w:t>
      </w:r>
      <w:r>
        <w:rPr>
          <w:rFonts w:ascii="宋体" w:hAnsi="宋体" w:cs="宋体" w:eastAsia="宋体"/>
          <w:spacing w:val="-3"/>
        </w:rPr>
        <w:t>、经过履行资产核查、取价依据调查和评定估算等程序，对江苏省沿</w:t>
      </w:r>
      <w:r>
        <w:rPr>
          <w:rFonts w:ascii="宋体" w:hAnsi="宋体" w:cs="宋体" w:eastAsia="宋体"/>
          <w:w w:val="100"/>
        </w:rPr>
        <w:t> </w:t>
      </w:r>
      <w:r>
        <w:rPr>
          <w:rFonts w:ascii="宋体" w:hAnsi="宋体" w:cs="宋体" w:eastAsia="宋体"/>
        </w:rPr>
        <w:t>海开发集团有限公司申报的房屋建筑物类资产在评估基准日的评估结果汇</w:t>
      </w:r>
    </w:p>
    <w:p>
      <w:pPr>
        <w:spacing w:after="0" w:line="372" w:lineRule="auto"/>
        <w:jc w:val="both"/>
        <w:rPr>
          <w:rFonts w:ascii="宋体" w:hAnsi="宋体" w:cs="宋体" w:eastAsia="宋体"/>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pStyle w:val="BodyText"/>
        <w:spacing w:line="240" w:lineRule="auto" w:before="146"/>
        <w:ind w:left="138" w:right="0"/>
        <w:jc w:val="left"/>
        <w:rPr>
          <w:rFonts w:ascii="宋体" w:hAnsi="宋体" w:cs="宋体" w:eastAsia="宋体"/>
        </w:rPr>
      </w:pPr>
      <w:r>
        <w:rPr>
          <w:rFonts w:ascii="宋体" w:hAnsi="宋体" w:cs="宋体" w:eastAsia="宋体"/>
        </w:rPr>
        <w:t>总如下：</w:t>
      </w:r>
    </w:p>
    <w:p>
      <w:pPr>
        <w:spacing w:line="240" w:lineRule="auto" w:before="8"/>
        <w:rPr>
          <w:rFonts w:ascii="宋体" w:hAnsi="宋体" w:cs="宋体" w:eastAsia="宋体"/>
          <w:sz w:val="18"/>
          <w:szCs w:val="18"/>
        </w:rPr>
      </w:pPr>
    </w:p>
    <w:p>
      <w:pPr>
        <w:spacing w:after="0" w:line="240" w:lineRule="auto"/>
        <w:rPr>
          <w:rFonts w:ascii="宋体" w:hAnsi="宋体" w:cs="宋体" w:eastAsia="宋体"/>
          <w:sz w:val="18"/>
          <w:szCs w:val="18"/>
        </w:rPr>
        <w:sectPr>
          <w:pgSz w:w="11910" w:h="16840"/>
          <w:pgMar w:header="878" w:footer="1196" w:top="1100" w:bottom="1380" w:left="1280" w:right="1300"/>
        </w:sectPr>
      </w:pPr>
    </w:p>
    <w:p>
      <w:pPr>
        <w:pStyle w:val="BodyText"/>
        <w:spacing w:line="240" w:lineRule="auto" w:before="14"/>
        <w:ind w:left="2992" w:right="0"/>
        <w:jc w:val="left"/>
        <w:rPr>
          <w:rFonts w:ascii="宋体" w:hAnsi="宋体" w:cs="宋体" w:eastAsia="宋体"/>
        </w:rPr>
      </w:pPr>
      <w:r>
        <w:rPr>
          <w:rFonts w:ascii="宋体" w:hAnsi="宋体" w:cs="宋体" w:eastAsia="宋体"/>
          <w:spacing w:val="-2"/>
        </w:rPr>
        <w:t>设备类资产评估结果汇总表</w:t>
      </w:r>
    </w:p>
    <w:p>
      <w:pPr>
        <w:spacing w:line="240" w:lineRule="auto" w:before="0"/>
        <w:rPr>
          <w:rFonts w:ascii="宋体" w:hAnsi="宋体" w:cs="宋体" w:eastAsia="宋体"/>
          <w:sz w:val="24"/>
          <w:szCs w:val="24"/>
        </w:rPr>
      </w:pPr>
      <w:r>
        <w:rPr/>
        <w:br w:type="column"/>
      </w:r>
      <w:r>
        <w:rPr>
          <w:rFonts w:ascii="宋体"/>
          <w:sz w:val="24"/>
        </w:rPr>
      </w:r>
    </w:p>
    <w:p>
      <w:pPr>
        <w:spacing w:before="198"/>
        <w:ind w:left="1133" w:right="0" w:firstLine="0"/>
        <w:jc w:val="left"/>
        <w:rPr>
          <w:rFonts w:ascii="宋体" w:hAnsi="宋体" w:cs="宋体" w:eastAsia="宋体"/>
          <w:sz w:val="24"/>
          <w:szCs w:val="24"/>
        </w:rPr>
      </w:pPr>
      <w:r>
        <w:rPr>
          <w:rFonts w:ascii="宋体" w:hAnsi="宋体" w:cs="宋体" w:eastAsia="宋体"/>
          <w:sz w:val="24"/>
          <w:szCs w:val="24"/>
        </w:rPr>
        <w:t>单位：人民币元</w:t>
      </w:r>
    </w:p>
    <w:p>
      <w:pPr>
        <w:spacing w:after="0"/>
        <w:jc w:val="left"/>
        <w:rPr>
          <w:rFonts w:ascii="宋体" w:hAnsi="宋体" w:cs="宋体" w:eastAsia="宋体"/>
          <w:sz w:val="24"/>
          <w:szCs w:val="24"/>
        </w:rPr>
        <w:sectPr>
          <w:type w:val="continuous"/>
          <w:pgSz w:w="11910" w:h="16840"/>
          <w:pgMar w:top="1100" w:bottom="280" w:left="1280" w:right="1300"/>
          <w:cols w:num="2" w:equalWidth="0">
            <w:col w:w="6355" w:space="40"/>
            <w:col w:w="2935"/>
          </w:cols>
        </w:sectPr>
      </w:pPr>
    </w:p>
    <w:p>
      <w:pPr>
        <w:spacing w:line="240" w:lineRule="auto" w:before="9"/>
        <w:rPr>
          <w:rFonts w:ascii="宋体" w:hAnsi="宋体" w:cs="宋体" w:eastAsia="宋体"/>
          <w:sz w:val="14"/>
          <w:szCs w:val="14"/>
        </w:rPr>
      </w:pPr>
    </w:p>
    <w:tbl>
      <w:tblPr>
        <w:tblW w:w="0" w:type="auto"/>
        <w:jc w:val="left"/>
        <w:tblInd w:w="118" w:type="dxa"/>
        <w:tblLayout w:type="fixed"/>
        <w:tblCellMar>
          <w:top w:w="0" w:type="dxa"/>
          <w:left w:w="0" w:type="dxa"/>
          <w:bottom w:w="0" w:type="dxa"/>
          <w:right w:w="0" w:type="dxa"/>
        </w:tblCellMar>
        <w:tblLook w:val="01E0"/>
      </w:tblPr>
      <w:tblGrid>
        <w:gridCol w:w="675"/>
        <w:gridCol w:w="3838"/>
        <w:gridCol w:w="676"/>
        <w:gridCol w:w="853"/>
        <w:gridCol w:w="1036"/>
        <w:gridCol w:w="973"/>
        <w:gridCol w:w="849"/>
      </w:tblGrid>
      <w:tr>
        <w:trPr>
          <w:trHeight w:val="430" w:hRule="exact"/>
        </w:trPr>
        <w:tc>
          <w:tcPr>
            <w:tcW w:w="675" w:type="dxa"/>
            <w:vMerge w:val="restart"/>
            <w:tcBorders>
              <w:top w:val="single" w:sz="4" w:space="0" w:color="000000"/>
              <w:left w:val="single" w:sz="4" w:space="0" w:color="000000"/>
              <w:right w:val="single" w:sz="4" w:space="0" w:color="000000"/>
            </w:tcBorders>
          </w:tcPr>
          <w:p>
            <w:pPr>
              <w:pStyle w:val="TableParagraph"/>
              <w:spacing w:line="240" w:lineRule="auto" w:before="9"/>
              <w:ind w:right="0"/>
              <w:jc w:val="left"/>
              <w:rPr>
                <w:rFonts w:ascii="宋体" w:hAnsi="宋体" w:cs="宋体" w:eastAsia="宋体"/>
                <w:sz w:val="18"/>
                <w:szCs w:val="18"/>
              </w:rPr>
            </w:pPr>
          </w:p>
          <w:p>
            <w:pPr>
              <w:pStyle w:val="TableParagraph"/>
              <w:spacing w:line="240" w:lineRule="auto"/>
              <w:ind w:left="92" w:right="0"/>
              <w:jc w:val="left"/>
              <w:rPr>
                <w:rFonts w:ascii="宋体" w:hAnsi="宋体" w:cs="宋体" w:eastAsia="宋体"/>
                <w:sz w:val="24"/>
                <w:szCs w:val="24"/>
              </w:rPr>
            </w:pPr>
            <w:r>
              <w:rPr>
                <w:rFonts w:ascii="宋体" w:hAnsi="宋体" w:cs="宋体" w:eastAsia="宋体"/>
                <w:sz w:val="24"/>
                <w:szCs w:val="24"/>
              </w:rPr>
              <w:t>序号</w:t>
            </w:r>
          </w:p>
        </w:tc>
        <w:tc>
          <w:tcPr>
            <w:tcW w:w="3838" w:type="dxa"/>
            <w:vMerge w:val="restart"/>
            <w:tcBorders>
              <w:top w:val="single" w:sz="4" w:space="0" w:color="000000"/>
              <w:left w:val="single" w:sz="4" w:space="0" w:color="000000"/>
              <w:right w:val="single" w:sz="4" w:space="0" w:color="000000"/>
            </w:tcBorders>
          </w:tcPr>
          <w:p>
            <w:pPr>
              <w:pStyle w:val="TableParagraph"/>
              <w:spacing w:line="240" w:lineRule="auto" w:before="9"/>
              <w:ind w:right="0"/>
              <w:jc w:val="left"/>
              <w:rPr>
                <w:rFonts w:ascii="宋体" w:hAnsi="宋体" w:cs="宋体" w:eastAsia="宋体"/>
                <w:sz w:val="18"/>
                <w:szCs w:val="18"/>
              </w:rPr>
            </w:pPr>
          </w:p>
          <w:p>
            <w:pPr>
              <w:pStyle w:val="TableParagraph"/>
              <w:spacing w:line="240" w:lineRule="auto"/>
              <w:ind w:right="1"/>
              <w:jc w:val="center"/>
              <w:rPr>
                <w:rFonts w:ascii="宋体" w:hAnsi="宋体" w:cs="宋体" w:eastAsia="宋体"/>
                <w:sz w:val="24"/>
                <w:szCs w:val="24"/>
              </w:rPr>
            </w:pPr>
            <w:r>
              <w:rPr>
                <w:rFonts w:ascii="宋体" w:hAnsi="宋体" w:cs="宋体" w:eastAsia="宋体"/>
                <w:sz w:val="24"/>
                <w:szCs w:val="24"/>
              </w:rPr>
              <w:t>设备名称</w:t>
            </w:r>
          </w:p>
        </w:tc>
        <w:tc>
          <w:tcPr>
            <w:tcW w:w="676" w:type="dxa"/>
            <w:vMerge w:val="restart"/>
            <w:tcBorders>
              <w:top w:val="single" w:sz="4" w:space="0" w:color="000000"/>
              <w:left w:val="single" w:sz="4" w:space="0" w:color="000000"/>
              <w:right w:val="single" w:sz="4" w:space="0" w:color="000000"/>
            </w:tcBorders>
          </w:tcPr>
          <w:p>
            <w:pPr>
              <w:pStyle w:val="TableParagraph"/>
              <w:spacing w:line="312" w:lineRule="exact" w:before="119"/>
              <w:ind w:left="93" w:right="90"/>
              <w:jc w:val="left"/>
              <w:rPr>
                <w:rFonts w:ascii="宋体" w:hAnsi="宋体" w:cs="宋体" w:eastAsia="宋体"/>
                <w:sz w:val="24"/>
                <w:szCs w:val="24"/>
              </w:rPr>
            </w:pPr>
            <w:r>
              <w:rPr>
                <w:rFonts w:ascii="宋体" w:hAnsi="宋体" w:cs="宋体" w:eastAsia="宋体"/>
                <w:sz w:val="24"/>
                <w:szCs w:val="24"/>
              </w:rPr>
              <w:t>计量 单位</w:t>
            </w:r>
          </w:p>
        </w:tc>
        <w:tc>
          <w:tcPr>
            <w:tcW w:w="853" w:type="dxa"/>
            <w:vMerge w:val="restart"/>
            <w:tcBorders>
              <w:top w:val="single" w:sz="4" w:space="0" w:color="000000"/>
              <w:left w:val="single" w:sz="4" w:space="0" w:color="000000"/>
              <w:right w:val="single" w:sz="4" w:space="0" w:color="000000"/>
            </w:tcBorders>
          </w:tcPr>
          <w:p>
            <w:pPr>
              <w:pStyle w:val="TableParagraph"/>
              <w:spacing w:line="240" w:lineRule="auto" w:before="9"/>
              <w:ind w:right="0"/>
              <w:jc w:val="left"/>
              <w:rPr>
                <w:rFonts w:ascii="宋体" w:hAnsi="宋体" w:cs="宋体" w:eastAsia="宋体"/>
                <w:sz w:val="18"/>
                <w:szCs w:val="18"/>
              </w:rPr>
            </w:pPr>
          </w:p>
          <w:p>
            <w:pPr>
              <w:pStyle w:val="TableParagraph"/>
              <w:spacing w:line="240" w:lineRule="auto"/>
              <w:ind w:left="180" w:right="0"/>
              <w:jc w:val="left"/>
              <w:rPr>
                <w:rFonts w:ascii="宋体" w:hAnsi="宋体" w:cs="宋体" w:eastAsia="宋体"/>
                <w:sz w:val="24"/>
                <w:szCs w:val="24"/>
              </w:rPr>
            </w:pPr>
            <w:r>
              <w:rPr>
                <w:rFonts w:ascii="宋体" w:hAnsi="宋体" w:cs="宋体" w:eastAsia="宋体"/>
                <w:sz w:val="24"/>
                <w:szCs w:val="24"/>
              </w:rPr>
              <w:t>数量</w:t>
            </w:r>
          </w:p>
        </w:tc>
        <w:tc>
          <w:tcPr>
            <w:tcW w:w="28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942" w:right="0"/>
              <w:jc w:val="left"/>
              <w:rPr>
                <w:rFonts w:ascii="宋体" w:hAnsi="宋体" w:cs="宋体" w:eastAsia="宋体"/>
                <w:sz w:val="24"/>
                <w:szCs w:val="24"/>
              </w:rPr>
            </w:pPr>
            <w:r>
              <w:rPr>
                <w:rFonts w:ascii="宋体" w:hAnsi="宋体" w:cs="宋体" w:eastAsia="宋体"/>
                <w:sz w:val="24"/>
                <w:szCs w:val="24"/>
              </w:rPr>
              <w:t>评估价值</w:t>
            </w:r>
          </w:p>
        </w:tc>
      </w:tr>
      <w:tr>
        <w:trPr>
          <w:trHeight w:val="460" w:hRule="exact"/>
        </w:trPr>
        <w:tc>
          <w:tcPr>
            <w:tcW w:w="675" w:type="dxa"/>
            <w:vMerge/>
            <w:tcBorders>
              <w:left w:val="single" w:sz="4" w:space="0" w:color="000000"/>
              <w:bottom w:val="single" w:sz="4" w:space="0" w:color="000000"/>
              <w:right w:val="single" w:sz="4" w:space="0" w:color="000000"/>
            </w:tcBorders>
          </w:tcPr>
          <w:p>
            <w:pPr/>
          </w:p>
        </w:tc>
        <w:tc>
          <w:tcPr>
            <w:tcW w:w="3838" w:type="dxa"/>
            <w:vMerge/>
            <w:tcBorders>
              <w:left w:val="single" w:sz="4" w:space="0" w:color="000000"/>
              <w:bottom w:val="single" w:sz="4" w:space="0" w:color="000000"/>
              <w:right w:val="single" w:sz="4" w:space="0" w:color="000000"/>
            </w:tcBorders>
          </w:tcPr>
          <w:p>
            <w:pPr/>
          </w:p>
        </w:tc>
        <w:tc>
          <w:tcPr>
            <w:tcW w:w="676" w:type="dxa"/>
            <w:vMerge/>
            <w:tcBorders>
              <w:left w:val="single" w:sz="4" w:space="0" w:color="000000"/>
              <w:bottom w:val="single" w:sz="4" w:space="0" w:color="000000"/>
              <w:right w:val="single" w:sz="4" w:space="0" w:color="000000"/>
            </w:tcBorders>
          </w:tcPr>
          <w:p>
            <w:pPr/>
          </w:p>
        </w:tc>
        <w:tc>
          <w:tcPr>
            <w:tcW w:w="853" w:type="dxa"/>
            <w:vMerge/>
            <w:tcBorders>
              <w:left w:val="single" w:sz="4" w:space="0" w:color="000000"/>
              <w:bottom w:val="single" w:sz="4" w:space="0" w:color="000000"/>
              <w:right w:val="single" w:sz="4" w:space="0" w:color="000000"/>
            </w:tcBorders>
          </w:tcPr>
          <w:p>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left="273" w:right="0"/>
              <w:jc w:val="left"/>
              <w:rPr>
                <w:rFonts w:ascii="宋体" w:hAnsi="宋体" w:cs="宋体" w:eastAsia="宋体"/>
                <w:sz w:val="24"/>
                <w:szCs w:val="24"/>
              </w:rPr>
            </w:pPr>
            <w:r>
              <w:rPr>
                <w:rFonts w:ascii="宋体" w:hAnsi="宋体" w:cs="宋体" w:eastAsia="宋体"/>
                <w:sz w:val="24"/>
                <w:szCs w:val="24"/>
              </w:rPr>
              <w:t>原值</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left="22" w:right="0"/>
              <w:jc w:val="left"/>
              <w:rPr>
                <w:rFonts w:ascii="Times New Roman" w:hAnsi="Times New Roman" w:cs="Times New Roman" w:eastAsia="Times New Roman"/>
                <w:sz w:val="24"/>
                <w:szCs w:val="24"/>
              </w:rPr>
            </w:pPr>
            <w:r>
              <w:rPr>
                <w:rFonts w:ascii="宋体" w:hAnsi="宋体" w:cs="宋体" w:eastAsia="宋体"/>
                <w:sz w:val="24"/>
                <w:szCs w:val="24"/>
              </w:rPr>
              <w:t>成新率</w:t>
            </w:r>
            <w:r>
              <w:rPr>
                <w:rFonts w:ascii="Times New Roman" w:hAnsi="Times New Roman" w:cs="Times New Roman" w:eastAsia="Times New Roman"/>
                <w:sz w:val="24"/>
                <w:szCs w:val="24"/>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left="179" w:right="0"/>
              <w:jc w:val="left"/>
              <w:rPr>
                <w:rFonts w:ascii="宋体" w:hAnsi="宋体" w:cs="宋体" w:eastAsia="宋体"/>
                <w:sz w:val="24"/>
                <w:szCs w:val="24"/>
              </w:rPr>
            </w:pPr>
            <w:r>
              <w:rPr>
                <w:rFonts w:ascii="宋体" w:hAnsi="宋体" w:cs="宋体" w:eastAsia="宋体"/>
                <w:sz w:val="24"/>
                <w:szCs w:val="24"/>
              </w:rPr>
              <w:t>净值</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0"/>
              <w:jc w:val="center"/>
              <w:rPr>
                <w:rFonts w:ascii="Times New Roman" w:hAnsi="Times New Roman" w:cs="Times New Roman" w:eastAsia="Times New Roman"/>
                <w:sz w:val="24"/>
                <w:szCs w:val="24"/>
              </w:rPr>
            </w:pPr>
            <w:r>
              <w:rPr>
                <w:rFonts w:ascii="Times New Roman"/>
                <w:sz w:val="24"/>
              </w:rPr>
              <w:t>1</w:t>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0" w:right="0"/>
              <w:jc w:val="left"/>
              <w:rPr>
                <w:rFonts w:ascii="宋体" w:hAnsi="宋体" w:cs="宋体" w:eastAsia="宋体"/>
                <w:sz w:val="24"/>
                <w:szCs w:val="24"/>
              </w:rPr>
            </w:pPr>
            <w:r>
              <w:rPr>
                <w:rFonts w:ascii="宋体" w:hAnsi="宋体" w:cs="宋体" w:eastAsia="宋体"/>
                <w:sz w:val="24"/>
                <w:szCs w:val="24"/>
              </w:rPr>
              <w:t>化验室-显微镜</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42" w:right="0"/>
              <w:jc w:val="left"/>
              <w:rPr>
                <w:rFonts w:ascii="Times New Roman" w:hAnsi="Times New Roman" w:cs="Times New Roman" w:eastAsia="Times New Roman"/>
                <w:sz w:val="24"/>
                <w:szCs w:val="24"/>
              </w:rPr>
            </w:pPr>
            <w:r>
              <w:rPr>
                <w:rFonts w:ascii="Times New Roman"/>
                <w:sz w:val="24"/>
              </w:rPr>
              <w:t>3,200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39" w:right="0"/>
              <w:jc w:val="left"/>
              <w:rPr>
                <w:rFonts w:ascii="Times New Roman" w:hAnsi="Times New Roman" w:cs="Times New Roman" w:eastAsia="Times New Roman"/>
                <w:sz w:val="24"/>
                <w:szCs w:val="24"/>
              </w:rPr>
            </w:pPr>
            <w:r>
              <w:rPr>
                <w:rFonts w:ascii="Times New Roman"/>
                <w:sz w:val="24"/>
              </w:rPr>
              <w:t>320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right="0"/>
              <w:jc w:val="center"/>
              <w:rPr>
                <w:rFonts w:ascii="Times New Roman" w:hAnsi="Times New Roman" w:cs="Times New Roman" w:eastAsia="Times New Roman"/>
                <w:sz w:val="24"/>
                <w:szCs w:val="24"/>
              </w:rPr>
            </w:pPr>
            <w:r>
              <w:rPr>
                <w:rFonts w:ascii="Times New Roman"/>
                <w:sz w:val="24"/>
              </w:rPr>
              <w:t>2</w:t>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10" w:right="0"/>
              <w:jc w:val="left"/>
              <w:rPr>
                <w:rFonts w:ascii="宋体" w:hAnsi="宋体" w:cs="宋体" w:eastAsia="宋体"/>
                <w:sz w:val="24"/>
                <w:szCs w:val="24"/>
              </w:rPr>
            </w:pPr>
            <w:r>
              <w:rPr>
                <w:rFonts w:ascii="宋体" w:hAnsi="宋体" w:cs="宋体" w:eastAsia="宋体"/>
                <w:sz w:val="24"/>
                <w:szCs w:val="24"/>
              </w:rPr>
              <w:t>化验室-净化工作台（单人</w:t>
            </w:r>
            <w:r>
              <w:rPr>
                <w:rFonts w:ascii="宋体" w:hAnsi="宋体" w:cs="宋体" w:eastAsia="宋体"/>
                <w:spacing w:val="-60"/>
                <w:sz w:val="24"/>
                <w:szCs w:val="24"/>
              </w:rPr>
              <w:t> </w:t>
            </w:r>
            <w:r>
              <w:rPr>
                <w:rFonts w:ascii="宋体" w:hAnsi="宋体" w:cs="宋体" w:eastAsia="宋体"/>
                <w:sz w:val="24"/>
                <w:szCs w:val="24"/>
              </w:rPr>
              <w:t>SP-DFFF</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169" w:right="0"/>
              <w:jc w:val="left"/>
              <w:rPr>
                <w:rFonts w:ascii="宋体" w:hAnsi="宋体" w:cs="宋体" w:eastAsia="宋体"/>
                <w:sz w:val="24"/>
                <w:szCs w:val="24"/>
              </w:rPr>
            </w:pPr>
            <w:r>
              <w:rPr>
                <w:rFonts w:ascii="宋体" w:hAnsi="宋体" w:cs="宋体" w:eastAsia="宋体"/>
                <w:sz w:val="24"/>
                <w:szCs w:val="24"/>
              </w:rPr>
              <w:t>）</w:t>
            </w:r>
            <w:r>
              <w:rPr>
                <w:rFonts w:ascii="宋体" w:hAnsi="宋体" w:cs="宋体" w:eastAsia="宋体"/>
                <w:spacing w:val="21"/>
                <w:sz w:val="24"/>
                <w:szCs w:val="24"/>
              </w:rPr>
              <w:t> </w:t>
            </w: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left="242" w:right="0"/>
              <w:jc w:val="left"/>
              <w:rPr>
                <w:rFonts w:ascii="Times New Roman" w:hAnsi="Times New Roman" w:cs="Times New Roman" w:eastAsia="Times New Roman"/>
                <w:sz w:val="24"/>
                <w:szCs w:val="24"/>
              </w:rPr>
            </w:pPr>
            <w:r>
              <w:rPr>
                <w:rFonts w:ascii="Times New Roman"/>
                <w:sz w:val="24"/>
              </w:rPr>
              <w:t>5,500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left="239" w:right="0"/>
              <w:jc w:val="left"/>
              <w:rPr>
                <w:rFonts w:ascii="Times New Roman" w:hAnsi="Times New Roman" w:cs="Times New Roman" w:eastAsia="Times New Roman"/>
                <w:sz w:val="24"/>
                <w:szCs w:val="24"/>
              </w:rPr>
            </w:pPr>
            <w:r>
              <w:rPr>
                <w:rFonts w:ascii="Times New Roman"/>
                <w:sz w:val="24"/>
              </w:rPr>
              <w:t>550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0"/>
              <w:jc w:val="center"/>
              <w:rPr>
                <w:rFonts w:ascii="Times New Roman" w:hAnsi="Times New Roman" w:cs="Times New Roman" w:eastAsia="Times New Roman"/>
                <w:sz w:val="24"/>
                <w:szCs w:val="24"/>
              </w:rPr>
            </w:pPr>
            <w:r>
              <w:rPr>
                <w:rFonts w:ascii="Times New Roman"/>
                <w:sz w:val="24"/>
              </w:rPr>
              <w:t>3</w:t>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 w:right="0"/>
              <w:jc w:val="left"/>
              <w:rPr>
                <w:rFonts w:ascii="宋体" w:hAnsi="宋体" w:cs="宋体" w:eastAsia="宋体"/>
                <w:sz w:val="24"/>
                <w:szCs w:val="24"/>
              </w:rPr>
            </w:pPr>
            <w:r>
              <w:rPr>
                <w:rFonts w:ascii="宋体" w:hAnsi="宋体" w:cs="宋体" w:eastAsia="宋体"/>
                <w:sz w:val="24"/>
                <w:szCs w:val="24"/>
              </w:rPr>
              <w:t>化验室-蒸汽消毒皿</w:t>
            </w:r>
            <w:r>
              <w:rPr>
                <w:rFonts w:ascii="宋体" w:hAnsi="宋体" w:cs="宋体" w:eastAsia="宋体"/>
                <w:spacing w:val="-60"/>
                <w:sz w:val="24"/>
                <w:szCs w:val="24"/>
              </w:rPr>
              <w:t> </w:t>
            </w:r>
            <w:r>
              <w:rPr>
                <w:rFonts w:ascii="宋体" w:hAnsi="宋体" w:cs="宋体" w:eastAsia="宋体"/>
                <w:sz w:val="24"/>
                <w:szCs w:val="24"/>
              </w:rPr>
              <w:t>18c</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333" w:right="0"/>
              <w:jc w:val="left"/>
              <w:rPr>
                <w:rFonts w:ascii="Times New Roman" w:hAnsi="Times New Roman" w:cs="Times New Roman" w:eastAsia="Times New Roman"/>
                <w:sz w:val="24"/>
                <w:szCs w:val="24"/>
              </w:rPr>
            </w:pPr>
            <w:r>
              <w:rPr>
                <w:rFonts w:ascii="Times New Roman"/>
                <w:sz w:val="24"/>
              </w:rPr>
              <w:t>800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0"/>
              <w:jc w:val="center"/>
              <w:rPr>
                <w:rFonts w:ascii="Times New Roman" w:hAnsi="Times New Roman" w:cs="Times New Roman" w:eastAsia="Times New Roman"/>
                <w:sz w:val="24"/>
                <w:szCs w:val="24"/>
              </w:rPr>
            </w:pPr>
            <w:r>
              <w:rPr>
                <w:rFonts w:ascii="Times New Roman"/>
                <w:sz w:val="24"/>
              </w:rPr>
              <w:t>80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3"/>
              <w:ind w:right="0"/>
              <w:jc w:val="center"/>
              <w:rPr>
                <w:rFonts w:ascii="Calibri" w:hAnsi="Calibri" w:cs="Calibri" w:eastAsia="Calibri"/>
                <w:sz w:val="24"/>
                <w:szCs w:val="24"/>
              </w:rPr>
            </w:pPr>
            <w:r>
              <w:rPr>
                <w:rFonts w:ascii="Calibri"/>
                <w:w w:val="99"/>
                <w:sz w:val="24"/>
              </w:rPr>
              <w:t>4</w:t>
            </w:r>
            <w:r>
              <w:rPr>
                <w:rFonts w:ascii="Calibri"/>
                <w:sz w:val="24"/>
              </w:rPr>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 w:right="0"/>
              <w:jc w:val="left"/>
              <w:rPr>
                <w:rFonts w:ascii="宋体" w:hAnsi="宋体" w:cs="宋体" w:eastAsia="宋体"/>
                <w:sz w:val="24"/>
                <w:szCs w:val="24"/>
              </w:rPr>
            </w:pPr>
            <w:r>
              <w:rPr>
                <w:rFonts w:ascii="宋体" w:hAnsi="宋体" w:cs="宋体" w:eastAsia="宋体"/>
                <w:sz w:val="24"/>
                <w:szCs w:val="24"/>
              </w:rPr>
              <w:t>化验室-恒温干燥箱</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42" w:right="0"/>
              <w:jc w:val="left"/>
              <w:rPr>
                <w:rFonts w:ascii="Times New Roman" w:hAnsi="Times New Roman" w:cs="Times New Roman" w:eastAsia="Times New Roman"/>
                <w:sz w:val="24"/>
                <w:szCs w:val="24"/>
              </w:rPr>
            </w:pPr>
            <w:r>
              <w:rPr>
                <w:rFonts w:ascii="Times New Roman"/>
                <w:sz w:val="24"/>
              </w:rPr>
              <w:t>3,500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39" w:right="0"/>
              <w:jc w:val="left"/>
              <w:rPr>
                <w:rFonts w:ascii="Times New Roman" w:hAnsi="Times New Roman" w:cs="Times New Roman" w:eastAsia="Times New Roman"/>
                <w:sz w:val="24"/>
                <w:szCs w:val="24"/>
              </w:rPr>
            </w:pPr>
            <w:r>
              <w:rPr>
                <w:rFonts w:ascii="Times New Roman"/>
                <w:sz w:val="24"/>
              </w:rPr>
              <w:t>350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2"/>
              <w:ind w:right="0"/>
              <w:jc w:val="center"/>
              <w:rPr>
                <w:rFonts w:ascii="Calibri" w:hAnsi="Calibri" w:cs="Calibri" w:eastAsia="Calibri"/>
                <w:sz w:val="24"/>
                <w:szCs w:val="24"/>
              </w:rPr>
            </w:pPr>
            <w:r>
              <w:rPr>
                <w:rFonts w:ascii="Calibri"/>
                <w:w w:val="99"/>
                <w:sz w:val="24"/>
              </w:rPr>
              <w:t>5</w:t>
            </w:r>
            <w:r>
              <w:rPr>
                <w:rFonts w:ascii="Calibri"/>
                <w:sz w:val="24"/>
              </w:rPr>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0" w:right="0"/>
              <w:jc w:val="left"/>
              <w:rPr>
                <w:rFonts w:ascii="宋体" w:hAnsi="宋体" w:cs="宋体" w:eastAsia="宋体"/>
                <w:sz w:val="24"/>
                <w:szCs w:val="24"/>
              </w:rPr>
            </w:pPr>
            <w:r>
              <w:rPr>
                <w:rFonts w:ascii="宋体" w:hAnsi="宋体" w:cs="宋体" w:eastAsia="宋体"/>
                <w:sz w:val="24"/>
                <w:szCs w:val="24"/>
              </w:rPr>
              <w:t>化验室-恒温培养箱</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42" w:right="0"/>
              <w:jc w:val="left"/>
              <w:rPr>
                <w:rFonts w:ascii="Times New Roman" w:hAnsi="Times New Roman" w:cs="Times New Roman" w:eastAsia="Times New Roman"/>
                <w:sz w:val="24"/>
                <w:szCs w:val="24"/>
              </w:rPr>
            </w:pPr>
            <w:r>
              <w:rPr>
                <w:rFonts w:ascii="Times New Roman"/>
                <w:sz w:val="24"/>
              </w:rPr>
              <w:t>3,200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39" w:right="0"/>
              <w:jc w:val="left"/>
              <w:rPr>
                <w:rFonts w:ascii="Times New Roman" w:hAnsi="Times New Roman" w:cs="Times New Roman" w:eastAsia="Times New Roman"/>
                <w:sz w:val="24"/>
                <w:szCs w:val="24"/>
              </w:rPr>
            </w:pPr>
            <w:r>
              <w:rPr>
                <w:rFonts w:ascii="Times New Roman"/>
                <w:sz w:val="24"/>
              </w:rPr>
              <w:t>320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4"/>
              <w:ind w:right="0"/>
              <w:jc w:val="center"/>
              <w:rPr>
                <w:rFonts w:ascii="Calibri" w:hAnsi="Calibri" w:cs="Calibri" w:eastAsia="Calibri"/>
                <w:sz w:val="24"/>
                <w:szCs w:val="24"/>
              </w:rPr>
            </w:pPr>
            <w:r>
              <w:rPr>
                <w:rFonts w:ascii="Calibri"/>
                <w:w w:val="99"/>
                <w:sz w:val="24"/>
              </w:rPr>
              <w:t>6</w:t>
            </w:r>
            <w:r>
              <w:rPr>
                <w:rFonts w:ascii="Calibri"/>
                <w:sz w:val="24"/>
              </w:rPr>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0" w:right="0"/>
              <w:jc w:val="left"/>
              <w:rPr>
                <w:rFonts w:ascii="宋体" w:hAnsi="宋体" w:cs="宋体" w:eastAsia="宋体"/>
                <w:sz w:val="24"/>
                <w:szCs w:val="24"/>
              </w:rPr>
            </w:pPr>
            <w:r>
              <w:rPr>
                <w:rFonts w:ascii="宋体" w:hAnsi="宋体" w:cs="宋体" w:eastAsia="宋体"/>
                <w:sz w:val="24"/>
                <w:szCs w:val="24"/>
              </w:rPr>
              <w:t>化验室-臭氧发生器</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42" w:right="0"/>
              <w:jc w:val="left"/>
              <w:rPr>
                <w:rFonts w:ascii="Times New Roman" w:hAnsi="Times New Roman" w:cs="Times New Roman" w:eastAsia="Times New Roman"/>
                <w:sz w:val="24"/>
                <w:szCs w:val="24"/>
              </w:rPr>
            </w:pPr>
            <w:r>
              <w:rPr>
                <w:rFonts w:ascii="Times New Roman"/>
                <w:sz w:val="24"/>
              </w:rPr>
              <w:t>9,100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62" w:right="0"/>
              <w:jc w:val="left"/>
              <w:rPr>
                <w:rFonts w:ascii="Times New Roman" w:hAnsi="Times New Roman" w:cs="Times New Roman" w:eastAsia="Times New Roman"/>
                <w:sz w:val="24"/>
                <w:szCs w:val="24"/>
              </w:rPr>
            </w:pPr>
            <w:r>
              <w:rPr>
                <w:rFonts w:ascii="Times New Roman"/>
                <w:sz w:val="24"/>
              </w:rPr>
              <w:t>10%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39" w:right="0"/>
              <w:jc w:val="left"/>
              <w:rPr>
                <w:rFonts w:ascii="Times New Roman" w:hAnsi="Times New Roman" w:cs="Times New Roman" w:eastAsia="Times New Roman"/>
                <w:sz w:val="24"/>
                <w:szCs w:val="24"/>
              </w:rPr>
            </w:pPr>
            <w:r>
              <w:rPr>
                <w:rFonts w:ascii="Times New Roman"/>
                <w:sz w:val="24"/>
              </w:rPr>
              <w:t>910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4"/>
              <w:ind w:right="0"/>
              <w:jc w:val="center"/>
              <w:rPr>
                <w:rFonts w:ascii="Calibri" w:hAnsi="Calibri" w:cs="Calibri" w:eastAsia="Calibri"/>
                <w:sz w:val="24"/>
                <w:szCs w:val="24"/>
              </w:rPr>
            </w:pPr>
            <w:r>
              <w:rPr>
                <w:rFonts w:ascii="Calibri"/>
                <w:w w:val="99"/>
                <w:sz w:val="24"/>
              </w:rPr>
              <w:t>7</w:t>
            </w:r>
            <w:r>
              <w:rPr>
                <w:rFonts w:ascii="Calibri"/>
                <w:sz w:val="24"/>
              </w:rPr>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10" w:right="0"/>
              <w:jc w:val="left"/>
              <w:rPr>
                <w:rFonts w:ascii="宋体" w:hAnsi="宋体" w:cs="宋体" w:eastAsia="宋体"/>
                <w:sz w:val="24"/>
                <w:szCs w:val="24"/>
              </w:rPr>
            </w:pPr>
            <w:r>
              <w:rPr>
                <w:rFonts w:ascii="宋体" w:hAnsi="宋体" w:cs="宋体" w:eastAsia="宋体"/>
                <w:sz w:val="24"/>
                <w:szCs w:val="24"/>
              </w:rPr>
              <w:t>输变电工程（变压器、配电柜等）</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213" w:right="0"/>
              <w:jc w:val="left"/>
              <w:rPr>
                <w:rFonts w:ascii="宋体" w:hAnsi="宋体" w:cs="宋体" w:eastAsia="宋体"/>
                <w:sz w:val="24"/>
                <w:szCs w:val="24"/>
              </w:rPr>
            </w:pPr>
            <w:r>
              <w:rPr>
                <w:rFonts w:ascii="宋体" w:hAnsi="宋体" w:cs="宋体" w:eastAsia="宋体"/>
                <w:sz w:val="24"/>
                <w:szCs w:val="24"/>
              </w:rPr>
              <w:t>套</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22" w:right="0"/>
              <w:jc w:val="left"/>
              <w:rPr>
                <w:rFonts w:ascii="Times New Roman" w:hAnsi="Times New Roman" w:cs="Times New Roman" w:eastAsia="Times New Roman"/>
                <w:sz w:val="24"/>
                <w:szCs w:val="24"/>
              </w:rPr>
            </w:pPr>
            <w:r>
              <w:rPr>
                <w:rFonts w:ascii="Times New Roman"/>
                <w:sz w:val="24"/>
              </w:rPr>
              <w:t>280,000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262" w:right="0"/>
              <w:jc w:val="left"/>
              <w:rPr>
                <w:rFonts w:ascii="Times New Roman" w:hAnsi="Times New Roman" w:cs="Times New Roman" w:eastAsia="Times New Roman"/>
                <w:sz w:val="24"/>
                <w:szCs w:val="24"/>
              </w:rPr>
            </w:pPr>
            <w:r>
              <w:rPr>
                <w:rFonts w:ascii="Times New Roman"/>
                <w:sz w:val="24"/>
              </w:rPr>
              <w:t>27%</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88" w:right="0"/>
              <w:jc w:val="left"/>
              <w:rPr>
                <w:rFonts w:ascii="Times New Roman" w:hAnsi="Times New Roman" w:cs="Times New Roman" w:eastAsia="Times New Roman"/>
                <w:sz w:val="24"/>
                <w:szCs w:val="24"/>
              </w:rPr>
            </w:pPr>
            <w:r>
              <w:rPr>
                <w:rFonts w:ascii="Times New Roman"/>
                <w:sz w:val="24"/>
              </w:rPr>
              <w:t>75,600</w:t>
            </w:r>
          </w:p>
        </w:tc>
      </w:tr>
      <w:tr>
        <w:trPr>
          <w:trHeight w:val="430" w:hRule="exact"/>
        </w:trPr>
        <w:tc>
          <w:tcPr>
            <w:tcW w:w="6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right="0"/>
              <w:jc w:val="center"/>
              <w:rPr>
                <w:rFonts w:ascii="Times New Roman" w:hAnsi="Times New Roman" w:cs="Times New Roman" w:eastAsia="Times New Roman"/>
                <w:sz w:val="24"/>
                <w:szCs w:val="24"/>
              </w:rPr>
            </w:pPr>
            <w:r>
              <w:rPr>
                <w:rFonts w:ascii="Times New Roman"/>
                <w:sz w:val="24"/>
              </w:rPr>
              <w:t>8</w:t>
            </w:r>
          </w:p>
        </w:tc>
        <w:tc>
          <w:tcPr>
            <w:tcW w:w="38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10" w:right="0"/>
              <w:jc w:val="left"/>
              <w:rPr>
                <w:rFonts w:ascii="宋体" w:hAnsi="宋体" w:cs="宋体" w:eastAsia="宋体"/>
                <w:sz w:val="24"/>
                <w:szCs w:val="24"/>
              </w:rPr>
            </w:pPr>
            <w:r>
              <w:rPr>
                <w:rFonts w:ascii="宋体" w:hAnsi="宋体" w:cs="宋体" w:eastAsia="宋体"/>
                <w:sz w:val="24"/>
                <w:szCs w:val="24"/>
              </w:rPr>
              <w:t>牙鲆鱼车间设备工艺</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213" w:right="0"/>
              <w:jc w:val="left"/>
              <w:rPr>
                <w:rFonts w:ascii="宋体" w:hAnsi="宋体" w:cs="宋体" w:eastAsia="宋体"/>
                <w:sz w:val="24"/>
                <w:szCs w:val="24"/>
              </w:rPr>
            </w:pPr>
            <w:r>
              <w:rPr>
                <w:rFonts w:ascii="宋体" w:hAnsi="宋体" w:cs="宋体" w:eastAsia="宋体"/>
                <w:sz w:val="24"/>
                <w:szCs w:val="24"/>
              </w:rPr>
              <w:t>台</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right="1"/>
              <w:jc w:val="center"/>
              <w:rPr>
                <w:rFonts w:ascii="Times New Roman" w:hAnsi="Times New Roman" w:cs="Times New Roman" w:eastAsia="Times New Roman"/>
                <w:sz w:val="24"/>
                <w:szCs w:val="24"/>
              </w:rPr>
            </w:pPr>
            <w:r>
              <w:rPr>
                <w:rFonts w:ascii="Times New Roman"/>
                <w:sz w:val="24"/>
              </w:rPr>
              <w:t>1</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left="33" w:right="0"/>
              <w:jc w:val="left"/>
              <w:rPr>
                <w:rFonts w:ascii="Times New Roman" w:hAnsi="Times New Roman" w:cs="Times New Roman" w:eastAsia="Times New Roman"/>
                <w:sz w:val="24"/>
                <w:szCs w:val="24"/>
              </w:rPr>
            </w:pPr>
            <w:r>
              <w:rPr>
                <w:rFonts w:ascii="Times New Roman"/>
                <w:sz w:val="24"/>
              </w:rPr>
              <w:t>1,200,000</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right="0"/>
              <w:jc w:val="center"/>
              <w:rPr>
                <w:rFonts w:ascii="Times New Roman" w:hAnsi="Times New Roman" w:cs="Times New Roman" w:eastAsia="Times New Roman"/>
                <w:sz w:val="24"/>
                <w:szCs w:val="24"/>
              </w:rPr>
            </w:pPr>
            <w:r>
              <w:rPr>
                <w:rFonts w:ascii="Times New Roman"/>
                <w:sz w:val="24"/>
              </w:rPr>
              <w:t>8%</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3"/>
              <w:ind w:left="88" w:right="0"/>
              <w:jc w:val="left"/>
              <w:rPr>
                <w:rFonts w:ascii="Times New Roman" w:hAnsi="Times New Roman" w:cs="Times New Roman" w:eastAsia="Times New Roman"/>
                <w:sz w:val="24"/>
                <w:szCs w:val="24"/>
              </w:rPr>
            </w:pPr>
            <w:r>
              <w:rPr>
                <w:rFonts w:ascii="Times New Roman"/>
                <w:sz w:val="24"/>
              </w:rPr>
              <w:t>96,000</w:t>
            </w:r>
          </w:p>
        </w:tc>
      </w:tr>
      <w:tr>
        <w:trPr>
          <w:trHeight w:val="430" w:hRule="exact"/>
        </w:trPr>
        <w:tc>
          <w:tcPr>
            <w:tcW w:w="4513" w:type="dxa"/>
            <w:gridSpan w:val="2"/>
            <w:tcBorders>
              <w:top w:val="single" w:sz="4" w:space="0" w:color="000000"/>
              <w:left w:val="single" w:sz="4" w:space="0" w:color="000000"/>
              <w:bottom w:val="single" w:sz="4" w:space="0" w:color="000000"/>
              <w:right w:val="single" w:sz="4" w:space="0" w:color="000000"/>
            </w:tcBorders>
          </w:tcPr>
          <w:p>
            <w:pPr>
              <w:pStyle w:val="TableParagraph"/>
              <w:tabs>
                <w:tab w:pos="720" w:val="left" w:leader="none"/>
              </w:tabs>
              <w:spacing w:line="240" w:lineRule="auto" w:before="16"/>
              <w:ind w:left="1" w:right="0"/>
              <w:jc w:val="center"/>
              <w:rPr>
                <w:rFonts w:ascii="宋体" w:hAnsi="宋体" w:cs="宋体" w:eastAsia="宋体"/>
                <w:sz w:val="24"/>
                <w:szCs w:val="24"/>
              </w:rPr>
            </w:pPr>
            <w:r>
              <w:rPr>
                <w:rFonts w:ascii="宋体" w:hAnsi="宋体" w:cs="宋体" w:eastAsia="宋体"/>
                <w:b/>
                <w:bCs/>
                <w:w w:val="95"/>
                <w:sz w:val="24"/>
                <w:szCs w:val="24"/>
              </w:rPr>
              <w:t>合</w:t>
              <w:tab/>
            </w:r>
            <w:r>
              <w:rPr>
                <w:rFonts w:ascii="宋体" w:hAnsi="宋体" w:cs="宋体" w:eastAsia="宋体"/>
                <w:b/>
                <w:bCs/>
                <w:sz w:val="24"/>
                <w:szCs w:val="24"/>
              </w:rPr>
              <w:t>计</w:t>
            </w:r>
            <w:r>
              <w:rPr>
                <w:rFonts w:ascii="宋体" w:hAnsi="宋体" w:cs="宋体" w:eastAsia="宋体"/>
                <w:sz w:val="24"/>
                <w:szCs w:val="24"/>
              </w:rPr>
            </w:r>
          </w:p>
        </w:tc>
        <w:tc>
          <w:tcPr>
            <w:tcW w:w="676" w:type="dxa"/>
            <w:tcBorders>
              <w:top w:val="single" w:sz="4" w:space="0" w:color="000000"/>
              <w:left w:val="single" w:sz="4" w:space="0" w:color="000000"/>
              <w:bottom w:val="single" w:sz="4" w:space="0" w:color="000000"/>
              <w:right w:val="single" w:sz="4" w:space="0" w:color="000000"/>
            </w:tcBorders>
          </w:tcPr>
          <w:p>
            <w:pPr/>
          </w:p>
        </w:tc>
        <w:tc>
          <w:tcPr>
            <w:tcW w:w="853" w:type="dxa"/>
            <w:tcBorders>
              <w:top w:val="single" w:sz="4" w:space="0" w:color="000000"/>
              <w:left w:val="single" w:sz="4" w:space="0" w:color="000000"/>
              <w:bottom w:val="single" w:sz="4" w:space="0" w:color="000000"/>
              <w:right w:val="single" w:sz="4" w:space="0" w:color="000000"/>
            </w:tcBorders>
          </w:tcPr>
          <w:p>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33" w:right="0"/>
              <w:jc w:val="left"/>
              <w:rPr>
                <w:rFonts w:ascii="Times New Roman" w:hAnsi="Times New Roman" w:cs="Times New Roman" w:eastAsia="Times New Roman"/>
                <w:sz w:val="24"/>
                <w:szCs w:val="24"/>
              </w:rPr>
            </w:pPr>
            <w:r>
              <w:rPr>
                <w:rFonts w:ascii="Times New Roman"/>
                <w:b/>
                <w:sz w:val="24"/>
              </w:rPr>
              <w:t>1,505,300</w:t>
            </w:r>
            <w:r>
              <w:rPr>
                <w:rFonts w:ascii="Times New Roman"/>
                <w:sz w:val="24"/>
              </w:rPr>
            </w:r>
          </w:p>
        </w:tc>
        <w:tc>
          <w:tcPr>
            <w:tcW w:w="973" w:type="dxa"/>
            <w:tcBorders>
              <w:top w:val="single" w:sz="4" w:space="0" w:color="000000"/>
              <w:left w:val="single" w:sz="4" w:space="0" w:color="000000"/>
              <w:bottom w:val="single" w:sz="4" w:space="0" w:color="000000"/>
              <w:right w:val="single" w:sz="4" w:space="0" w:color="000000"/>
            </w:tcBorders>
          </w:tcPr>
          <w:p>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8" w:right="0"/>
              <w:jc w:val="left"/>
              <w:rPr>
                <w:rFonts w:ascii="Times New Roman" w:hAnsi="Times New Roman" w:cs="Times New Roman" w:eastAsia="Times New Roman"/>
                <w:sz w:val="24"/>
                <w:szCs w:val="24"/>
              </w:rPr>
            </w:pPr>
            <w:r>
              <w:rPr>
                <w:rFonts w:ascii="Times New Roman"/>
                <w:b/>
                <w:sz w:val="24"/>
              </w:rPr>
              <w:t>174,130</w:t>
            </w:r>
            <w:r>
              <w:rPr>
                <w:rFonts w:ascii="Times New Roman"/>
                <w:sz w:val="24"/>
              </w:rPr>
            </w:r>
          </w:p>
        </w:tc>
      </w:tr>
    </w:tbl>
    <w:p>
      <w:pPr>
        <w:spacing w:line="240" w:lineRule="auto" w:before="0"/>
        <w:rPr>
          <w:rFonts w:ascii="宋体" w:hAnsi="宋体" w:cs="宋体" w:eastAsia="宋体"/>
          <w:sz w:val="20"/>
          <w:szCs w:val="20"/>
        </w:rPr>
      </w:pPr>
    </w:p>
    <w:p>
      <w:pPr>
        <w:spacing w:line="240" w:lineRule="auto" w:before="1"/>
        <w:rPr>
          <w:rFonts w:ascii="宋体" w:hAnsi="宋体" w:cs="宋体" w:eastAsia="宋体"/>
          <w:sz w:val="19"/>
          <w:szCs w:val="19"/>
        </w:rPr>
      </w:pPr>
    </w:p>
    <w:p>
      <w:pPr>
        <w:spacing w:line="413" w:lineRule="exact" w:before="0"/>
        <w:ind w:left="697" w:right="0" w:hanging="560"/>
        <w:jc w:val="left"/>
        <w:rPr>
          <w:rFonts w:ascii="Microsoft JhengHei" w:hAnsi="Microsoft JhengHei" w:cs="Microsoft JhengHei" w:eastAsia="Microsoft JhengHei"/>
          <w:sz w:val="28"/>
          <w:szCs w:val="28"/>
        </w:rPr>
      </w:pPr>
      <w:r>
        <w:rPr>
          <w:rFonts w:ascii="Wingdings" w:hAnsi="Wingdings" w:cs="Wingdings" w:eastAsia="Wingdings"/>
          <w:sz w:val="28"/>
          <w:szCs w:val="28"/>
        </w:rPr>
        <w:t></w:t>
      </w:r>
      <w:r>
        <w:rPr>
          <w:rFonts w:ascii="Wingdings" w:hAnsi="Wingdings" w:cs="Wingdings" w:eastAsia="Wingdings"/>
          <w:spacing w:val="-83"/>
          <w:sz w:val="28"/>
          <w:szCs w:val="28"/>
        </w:rPr>
        <w:t></w:t>
      </w:r>
      <w:r>
        <w:rPr>
          <w:rFonts w:ascii="Times New Roman" w:hAnsi="Times New Roman" w:cs="Times New Roman" w:eastAsia="Times New Roman"/>
          <w:spacing w:val="-83"/>
          <w:sz w:val="28"/>
          <w:szCs w:val="28"/>
        </w:rPr>
      </w:r>
      <w:bookmarkStart w:name="土地使用权评估" w:id="47"/>
      <w:bookmarkEnd w:id="47"/>
      <w:r>
        <w:rPr>
          <w:rFonts w:ascii="Times New Roman" w:hAnsi="Times New Roman" w:cs="Times New Roman" w:eastAsia="Times New Roman"/>
          <w:spacing w:val="-83"/>
          <w:sz w:val="28"/>
          <w:szCs w:val="28"/>
        </w:rPr>
      </w:r>
      <w:r>
        <w:rPr>
          <w:rFonts w:ascii="Microsoft JhengHei" w:hAnsi="Microsoft JhengHei" w:cs="Microsoft JhengHei" w:eastAsia="Microsoft JhengHei"/>
          <w:b/>
          <w:bCs/>
          <w:sz w:val="28"/>
          <w:szCs w:val="28"/>
        </w:rPr>
        <w:t>土地使用权评估</w:t>
      </w:r>
      <w:r>
        <w:rPr>
          <w:rFonts w:ascii="Microsoft JhengHei" w:hAnsi="Microsoft JhengHei" w:cs="Microsoft JhengHei" w:eastAsia="Microsoft JhengHei"/>
          <w:sz w:val="28"/>
          <w:szCs w:val="28"/>
        </w:rPr>
      </w:r>
    </w:p>
    <w:p>
      <w:pPr>
        <w:pStyle w:val="BodyText"/>
        <w:spacing w:line="408" w:lineRule="auto" w:before="225"/>
        <w:ind w:left="138" w:right="0" w:firstLine="559"/>
        <w:jc w:val="left"/>
      </w:pPr>
      <w:r>
        <w:rPr>
          <w:spacing w:val="2"/>
        </w:rPr>
        <w:t>经资产评估师现场勘查和调研，确定评估土地使用权（租金）选用市</w:t>
      </w:r>
      <w:r>
        <w:rPr>
          <w:w w:val="100"/>
        </w:rPr>
        <w:t> </w:t>
      </w:r>
      <w:r>
        <w:rPr/>
        <w:t>场法、收益法。</w:t>
      </w:r>
    </w:p>
    <w:p>
      <w:pPr>
        <w:pStyle w:val="BodyText"/>
        <w:spacing w:line="408" w:lineRule="auto"/>
        <w:ind w:left="697" w:right="0" w:firstLine="139"/>
        <w:jc w:val="left"/>
      </w:pPr>
      <w:r>
        <w:rPr/>
        <w:t>本项目中涉及的土地使用权（租金）评估方法的取舍理由：</w:t>
      </w:r>
      <w:r>
        <w:rPr>
          <w:w w:val="100"/>
        </w:rPr>
        <w:t> </w:t>
      </w:r>
      <w:r>
        <w:rPr>
          <w:spacing w:val="2"/>
        </w:rPr>
        <w:t>成本法要求能够取得资产的重置成本及成新率，本项目中涉及的土地</w:t>
      </w:r>
    </w:p>
    <w:p>
      <w:pPr>
        <w:pStyle w:val="BodyText"/>
        <w:spacing w:line="408" w:lineRule="auto"/>
        <w:ind w:left="697" w:right="0" w:hanging="560"/>
        <w:jc w:val="left"/>
      </w:pPr>
      <w:r>
        <w:rPr/>
        <w:t>使用权（租金）无法取得上述数据，故不适合选取成本法；</w:t>
      </w:r>
      <w:r>
        <w:rPr>
          <w:w w:val="100"/>
        </w:rPr>
        <w:t> </w:t>
      </w:r>
      <w:r>
        <w:rPr>
          <w:spacing w:val="2"/>
        </w:rPr>
        <w:t>结合本次评估目的，可以收集到被评估对象历史状况、预测其未来收</w:t>
      </w:r>
    </w:p>
    <w:p>
      <w:pPr>
        <w:pStyle w:val="BodyText"/>
        <w:spacing w:line="408" w:lineRule="auto"/>
        <w:ind w:left="138" w:right="0"/>
        <w:jc w:val="left"/>
      </w:pPr>
      <w:r>
        <w:rPr>
          <w:spacing w:val="2"/>
        </w:rPr>
        <w:t>益及风险所需的必要资料，具备采用收益法实施评估的操作条件，故本项</w:t>
      </w:r>
      <w:r>
        <w:rPr>
          <w:spacing w:val="-101"/>
        </w:rPr>
        <w:t> </w:t>
      </w:r>
      <w:r>
        <w:rPr>
          <w:spacing w:val="-101"/>
        </w:rPr>
      </w:r>
      <w:r>
        <w:rPr/>
        <w:t>目中涉及的土地使用权（租金）的评估方法可以采用收益法。</w:t>
      </w:r>
    </w:p>
    <w:p>
      <w:pPr>
        <w:pStyle w:val="BodyText"/>
        <w:spacing w:line="408" w:lineRule="auto"/>
        <w:ind w:left="138" w:right="0" w:firstLine="559"/>
        <w:jc w:val="left"/>
      </w:pPr>
      <w:r>
        <w:rPr>
          <w:spacing w:val="2"/>
        </w:rPr>
        <w:t>由于可以搜集到适量的、与被评估对象可比的交易实例，以及将其与</w:t>
      </w:r>
      <w:r>
        <w:rPr>
          <w:w w:val="100"/>
        </w:rPr>
        <w:t> </w:t>
      </w:r>
      <w:r>
        <w:rPr>
          <w:spacing w:val="2"/>
        </w:rPr>
        <w:t>评估对象对比分析所需要的相关资料，具备采用市场法进行评估的操作条</w:t>
      </w:r>
    </w:p>
    <w:p>
      <w:pPr>
        <w:spacing w:after="0" w:line="408" w:lineRule="auto"/>
        <w:jc w:val="left"/>
        <w:sectPr>
          <w:type w:val="continuous"/>
          <w:pgSz w:w="11910" w:h="16840"/>
          <w:pgMar w:top="1100" w:bottom="280" w:left="1280" w:right="1300"/>
        </w:sectPr>
      </w:pPr>
    </w:p>
    <w:p>
      <w:pPr>
        <w:spacing w:line="240" w:lineRule="auto" w:before="0"/>
        <w:rPr>
          <w:rFonts w:ascii="仿宋" w:hAnsi="仿宋" w:cs="仿宋" w:eastAsia="仿宋"/>
          <w:sz w:val="20"/>
          <w:szCs w:val="20"/>
        </w:rPr>
      </w:pPr>
    </w:p>
    <w:p>
      <w:pPr>
        <w:pStyle w:val="BodyText"/>
        <w:spacing w:line="240" w:lineRule="auto" w:before="146"/>
        <w:ind w:right="0"/>
        <w:jc w:val="left"/>
      </w:pPr>
      <w:r>
        <w:rPr/>
        <w:t>件，故本项目中涉及的土地使用权（租金）的评估方法采用市场法。</w:t>
      </w:r>
    </w:p>
    <w:p>
      <w:pPr>
        <w:spacing w:line="240" w:lineRule="auto" w:before="9"/>
        <w:rPr>
          <w:rFonts w:ascii="仿宋" w:hAnsi="仿宋" w:cs="仿宋" w:eastAsia="仿宋"/>
          <w:sz w:val="19"/>
          <w:szCs w:val="19"/>
        </w:rPr>
      </w:pPr>
    </w:p>
    <w:p>
      <w:pPr>
        <w:pStyle w:val="BodyText"/>
        <w:tabs>
          <w:tab w:pos="538" w:val="left" w:leader="none"/>
        </w:tabs>
        <w:spacing w:line="240" w:lineRule="auto" w:before="0"/>
        <w:ind w:right="0"/>
        <w:jc w:val="left"/>
      </w:pPr>
      <w:r>
        <w:rPr>
          <w:rFonts w:ascii="Wingdings" w:hAnsi="Wingdings" w:cs="Wingdings" w:eastAsia="Wingdings"/>
        </w:rPr>
        <w:t></w:t>
      </w:r>
      <w:r>
        <w:rPr>
          <w:rFonts w:ascii="Times New Roman" w:hAnsi="Times New Roman" w:cs="Times New Roman" w:eastAsia="Times New Roman"/>
        </w:rPr>
        <w:tab/>
      </w:r>
      <w:bookmarkStart w:name="市场法" w:id="48"/>
      <w:bookmarkEnd w:id="48"/>
      <w:r>
        <w:rPr>
          <w:rFonts w:ascii="Times New Roman" w:hAnsi="Times New Roman" w:cs="Times New Roman" w:eastAsia="Times New Roman"/>
        </w:rPr>
      </w:r>
      <w:r>
        <w:rPr/>
        <w:t>市场法</w:t>
      </w:r>
    </w:p>
    <w:p>
      <w:pPr>
        <w:pStyle w:val="BodyText"/>
        <w:spacing w:line="408" w:lineRule="auto" w:before="238"/>
        <w:ind w:right="113" w:firstLine="537"/>
        <w:jc w:val="both"/>
        <w:rPr>
          <w:rFonts w:ascii="宋体" w:hAnsi="宋体" w:cs="宋体" w:eastAsia="宋体"/>
        </w:rPr>
      </w:pPr>
      <w:r>
        <w:rPr>
          <w:rFonts w:ascii="宋体" w:hAnsi="宋体" w:cs="宋体" w:eastAsia="宋体"/>
          <w:spacing w:val="2"/>
        </w:rPr>
        <w:t>根据替代原则，通过对估价对象和搜集的交易实例的分析，本次评估</w:t>
      </w:r>
      <w:r>
        <w:rPr>
          <w:rFonts w:ascii="宋体" w:hAnsi="宋体" w:cs="宋体" w:eastAsia="宋体"/>
          <w:w w:val="100"/>
        </w:rPr>
        <w:t> </w:t>
      </w:r>
      <w:r>
        <w:rPr>
          <w:rFonts w:ascii="宋体" w:hAnsi="宋体" w:cs="宋体" w:eastAsia="宋体"/>
          <w:spacing w:val="2"/>
        </w:rPr>
        <w:t>我们选择三个与估价对象价值时点接近、用途一致、规模相当的交易实例</w:t>
      </w:r>
      <w:r>
        <w:rPr>
          <w:rFonts w:ascii="宋体" w:hAnsi="宋体" w:cs="宋体" w:eastAsia="宋体"/>
          <w:spacing w:val="-101"/>
        </w:rPr>
        <w:t> </w:t>
      </w:r>
      <w:r>
        <w:rPr>
          <w:rFonts w:ascii="宋体" w:hAnsi="宋体" w:cs="宋体" w:eastAsia="宋体"/>
          <w:spacing w:val="-101"/>
        </w:rPr>
      </w:r>
      <w:r>
        <w:rPr>
          <w:rFonts w:ascii="宋体" w:hAnsi="宋体" w:cs="宋体" w:eastAsia="宋体"/>
        </w:rPr>
        <w:t>作为本次估价的可比实例。如图所示：</w:t>
      </w:r>
    </w:p>
    <w:p>
      <w:pPr>
        <w:spacing w:line="3339" w:lineRule="exact"/>
        <w:ind w:left="656" w:right="0" w:firstLine="0"/>
        <w:rPr>
          <w:rFonts w:ascii="宋体" w:hAnsi="宋体" w:cs="宋体" w:eastAsia="宋体"/>
          <w:sz w:val="20"/>
          <w:szCs w:val="20"/>
        </w:rPr>
      </w:pPr>
      <w:r>
        <w:rPr>
          <w:rFonts w:ascii="宋体" w:hAnsi="宋体" w:cs="宋体" w:eastAsia="宋体"/>
          <w:position w:val="-66"/>
          <w:sz w:val="20"/>
          <w:szCs w:val="20"/>
        </w:rPr>
        <w:drawing>
          <wp:inline distT="0" distB="0" distL="0" distR="0">
            <wp:extent cx="4441301" cy="2120265"/>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2" cstate="print"/>
                    <a:stretch>
                      <a:fillRect/>
                    </a:stretch>
                  </pic:blipFill>
                  <pic:spPr>
                    <a:xfrm>
                      <a:off x="0" y="0"/>
                      <a:ext cx="4441301" cy="2120265"/>
                    </a:xfrm>
                    <a:prstGeom prst="rect">
                      <a:avLst/>
                    </a:prstGeom>
                  </pic:spPr>
                </pic:pic>
              </a:graphicData>
            </a:graphic>
          </wp:inline>
        </w:drawing>
      </w:r>
      <w:r>
        <w:rPr>
          <w:rFonts w:ascii="宋体" w:hAnsi="宋体" w:cs="宋体" w:eastAsia="宋体"/>
          <w:position w:val="-66"/>
          <w:sz w:val="20"/>
          <w:szCs w:val="20"/>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21"/>
          <w:szCs w:val="21"/>
        </w:rPr>
      </w:pPr>
    </w:p>
    <w:p>
      <w:pPr>
        <w:spacing w:line="3498" w:lineRule="exact"/>
        <w:ind w:left="656" w:right="0" w:firstLine="0"/>
        <w:rPr>
          <w:rFonts w:ascii="宋体" w:hAnsi="宋体" w:cs="宋体" w:eastAsia="宋体"/>
          <w:sz w:val="20"/>
          <w:szCs w:val="20"/>
        </w:rPr>
      </w:pPr>
      <w:r>
        <w:rPr>
          <w:rFonts w:ascii="宋体" w:hAnsi="宋体" w:cs="宋体" w:eastAsia="宋体"/>
          <w:position w:val="-69"/>
          <w:sz w:val="20"/>
          <w:szCs w:val="20"/>
        </w:rPr>
        <w:drawing>
          <wp:inline distT="0" distB="0" distL="0" distR="0">
            <wp:extent cx="4389537" cy="2221230"/>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3" cstate="print"/>
                    <a:stretch>
                      <a:fillRect/>
                    </a:stretch>
                  </pic:blipFill>
                  <pic:spPr>
                    <a:xfrm>
                      <a:off x="0" y="0"/>
                      <a:ext cx="4389537" cy="2221230"/>
                    </a:xfrm>
                    <a:prstGeom prst="rect">
                      <a:avLst/>
                    </a:prstGeom>
                  </pic:spPr>
                </pic:pic>
              </a:graphicData>
            </a:graphic>
          </wp:inline>
        </w:drawing>
      </w:r>
      <w:r>
        <w:rPr>
          <w:rFonts w:ascii="宋体" w:hAnsi="宋体" w:cs="宋体" w:eastAsia="宋体"/>
          <w:position w:val="-69"/>
          <w:sz w:val="20"/>
          <w:szCs w:val="20"/>
        </w:rPr>
      </w:r>
    </w:p>
    <w:p>
      <w:pPr>
        <w:spacing w:after="0" w:line="3498" w:lineRule="exact"/>
        <w:rPr>
          <w:rFonts w:ascii="宋体" w:hAnsi="宋体" w:cs="宋体" w:eastAsia="宋体"/>
          <w:sz w:val="20"/>
          <w:szCs w:val="20"/>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1"/>
          <w:szCs w:val="11"/>
        </w:rPr>
      </w:pPr>
    </w:p>
    <w:p>
      <w:pPr>
        <w:spacing w:line="3561" w:lineRule="exact"/>
        <w:ind w:left="118" w:right="0" w:firstLine="0"/>
        <w:rPr>
          <w:rFonts w:ascii="宋体" w:hAnsi="宋体" w:cs="宋体" w:eastAsia="宋体"/>
          <w:sz w:val="20"/>
          <w:szCs w:val="20"/>
        </w:rPr>
      </w:pPr>
      <w:r>
        <w:rPr>
          <w:rFonts w:ascii="宋体" w:hAnsi="宋体" w:cs="宋体" w:eastAsia="宋体"/>
          <w:position w:val="-70"/>
          <w:sz w:val="20"/>
          <w:szCs w:val="20"/>
        </w:rPr>
        <w:drawing>
          <wp:inline distT="0" distB="0" distL="0" distR="0">
            <wp:extent cx="4883449" cy="226161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4" cstate="print"/>
                    <a:stretch>
                      <a:fillRect/>
                    </a:stretch>
                  </pic:blipFill>
                  <pic:spPr>
                    <a:xfrm>
                      <a:off x="0" y="0"/>
                      <a:ext cx="4883449" cy="2261616"/>
                    </a:xfrm>
                    <a:prstGeom prst="rect">
                      <a:avLst/>
                    </a:prstGeom>
                  </pic:spPr>
                </pic:pic>
              </a:graphicData>
            </a:graphic>
          </wp:inline>
        </w:drawing>
      </w:r>
      <w:r>
        <w:rPr>
          <w:rFonts w:ascii="宋体" w:hAnsi="宋体" w:cs="宋体" w:eastAsia="宋体"/>
          <w:position w:val="-70"/>
          <w:sz w:val="20"/>
          <w:szCs w:val="20"/>
        </w:rPr>
      </w:r>
    </w:p>
    <w:p>
      <w:pPr>
        <w:spacing w:line="240" w:lineRule="auto" w:before="12"/>
        <w:rPr>
          <w:rFonts w:ascii="宋体" w:hAnsi="宋体" w:cs="宋体" w:eastAsia="宋体"/>
          <w:sz w:val="12"/>
          <w:szCs w:val="12"/>
        </w:rPr>
      </w:pPr>
    </w:p>
    <w:p>
      <w:pPr>
        <w:pStyle w:val="BodyText"/>
        <w:spacing w:line="408" w:lineRule="auto" w:before="14"/>
        <w:ind w:right="0" w:firstLine="537"/>
        <w:jc w:val="left"/>
        <w:rPr>
          <w:rFonts w:ascii="宋体" w:hAnsi="宋体" w:cs="宋体" w:eastAsia="宋体"/>
        </w:rPr>
      </w:pPr>
      <w:r>
        <w:rPr/>
        <w:pict>
          <v:group style="position:absolute;margin-left:87.199997pt;margin-top:59.161572pt;width:105pt;height:93.7pt;mso-position-horizontal-relative:page;mso-position-vertical-relative:paragraph;z-index:-35776" coordorigin="1744,1183" coordsize="2100,1874">
            <v:shape style="position:absolute;left:1744;top:1183;width:2100;height:1874" coordorigin="1744,1183" coordsize="2100,1874" path="m1744,1183l3841,3057e" filled="false" stroked="true" strokeweight=".5pt" strokecolor="#000000">
              <v:path arrowok="t"/>
            </v:shape>
            <w10:wrap type="none"/>
          </v:group>
        </w:pict>
      </w:r>
      <w:r>
        <w:rPr/>
        <w:pict>
          <v:shape style="position:absolute;margin-left:86.809998pt;margin-top:58.761574pt;width:421.9pt;height:208.95pt;mso-position-horizontal-relative:page;mso-position-vertical-relative:paragraph;z-index:109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80"/>
                    <w:gridCol w:w="381"/>
                    <w:gridCol w:w="845"/>
                    <w:gridCol w:w="2106"/>
                    <w:gridCol w:w="2106"/>
                    <w:gridCol w:w="2106"/>
                  </w:tblGrid>
                  <w:tr>
                    <w:trPr>
                      <w:trHeight w:val="1882" w:hRule="exact"/>
                    </w:trPr>
                    <w:tc>
                      <w:tcPr>
                        <w:tcW w:w="880" w:type="dxa"/>
                        <w:tcBorders>
                          <w:top w:val="single" w:sz="4" w:space="0" w:color="000000"/>
                          <w:left w:val="single" w:sz="4" w:space="0" w:color="000000"/>
                          <w:bottom w:val="single" w:sz="4" w:space="0" w:color="000000"/>
                          <w:right w:val="nil" w:sz="6" w:space="0" w:color="auto"/>
                        </w:tcBorders>
                      </w:tcPr>
                      <w:p>
                        <w:pPr>
                          <w:pStyle w:val="TableParagraph"/>
                          <w:spacing w:line="240" w:lineRule="auto"/>
                          <w:ind w:right="0"/>
                          <w:jc w:val="left"/>
                          <w:rPr>
                            <w:rFonts w:ascii="宋体" w:hAnsi="宋体" w:cs="宋体" w:eastAsia="宋体"/>
                            <w:sz w:val="28"/>
                            <w:szCs w:val="28"/>
                          </w:rPr>
                        </w:pPr>
                      </w:p>
                      <w:p>
                        <w:pPr>
                          <w:pStyle w:val="TableParagraph"/>
                          <w:spacing w:line="240" w:lineRule="auto" w:before="4"/>
                          <w:ind w:right="0"/>
                          <w:jc w:val="left"/>
                          <w:rPr>
                            <w:rFonts w:ascii="宋体" w:hAnsi="宋体" w:cs="宋体" w:eastAsia="宋体"/>
                            <w:sz w:val="26"/>
                            <w:szCs w:val="26"/>
                          </w:rPr>
                        </w:pPr>
                      </w:p>
                      <w:p>
                        <w:pPr>
                          <w:pStyle w:val="TableParagraph"/>
                          <w:spacing w:line="240" w:lineRule="auto"/>
                          <w:ind w:left="102" w:right="0"/>
                          <w:jc w:val="left"/>
                          <w:rPr>
                            <w:rFonts w:ascii="宋体" w:hAnsi="宋体" w:cs="宋体" w:eastAsia="宋体"/>
                            <w:sz w:val="28"/>
                            <w:szCs w:val="28"/>
                          </w:rPr>
                        </w:pPr>
                        <w:r>
                          <w:rPr>
                            <w:rFonts w:ascii="宋体" w:hAnsi="宋体" w:cs="宋体" w:eastAsia="宋体"/>
                            <w:spacing w:val="-1"/>
                            <w:w w:val="100"/>
                            <w:sz w:val="28"/>
                            <w:szCs w:val="28"/>
                          </w:rPr>
                          <w:t>实</w:t>
                        </w:r>
                        <w:r>
                          <w:rPr>
                            <w:rFonts w:ascii="宋体" w:hAnsi="宋体" w:cs="宋体" w:eastAsia="宋体"/>
                            <w:w w:val="100"/>
                            <w:sz w:val="28"/>
                            <w:szCs w:val="28"/>
                          </w:rPr>
                          <w:t>例</w:t>
                        </w:r>
                      </w:p>
                      <w:p>
                        <w:pPr>
                          <w:pStyle w:val="TableParagraph"/>
                          <w:spacing w:line="240" w:lineRule="auto" w:before="9"/>
                          <w:ind w:right="0"/>
                          <w:jc w:val="left"/>
                          <w:rPr>
                            <w:rFonts w:ascii="宋体" w:hAnsi="宋体" w:cs="宋体" w:eastAsia="宋体"/>
                            <w:sz w:val="19"/>
                            <w:szCs w:val="19"/>
                          </w:rPr>
                        </w:pPr>
                      </w:p>
                      <w:p>
                        <w:pPr>
                          <w:pStyle w:val="TableParagraph"/>
                          <w:spacing w:line="240" w:lineRule="auto"/>
                          <w:ind w:left="383" w:right="0"/>
                          <w:jc w:val="left"/>
                          <w:rPr>
                            <w:rFonts w:ascii="宋体" w:hAnsi="宋体" w:cs="宋体" w:eastAsia="宋体"/>
                            <w:sz w:val="28"/>
                            <w:szCs w:val="28"/>
                          </w:rPr>
                        </w:pPr>
                        <w:r>
                          <w:rPr>
                            <w:rFonts w:ascii="宋体" w:hAnsi="宋体" w:cs="宋体" w:eastAsia="宋体"/>
                            <w:w w:val="100"/>
                            <w:sz w:val="28"/>
                            <w:szCs w:val="28"/>
                          </w:rPr>
                          <w:t>项</w:t>
                        </w:r>
                      </w:p>
                    </w:tc>
                    <w:tc>
                      <w:tcPr>
                        <w:tcW w:w="381" w:type="dxa"/>
                        <w:tcBorders>
                          <w:top w:val="single" w:sz="4" w:space="0" w:color="000000"/>
                          <w:left w:val="nil" w:sz="6" w:space="0" w:color="auto"/>
                          <w:bottom w:val="single" w:sz="4" w:space="0" w:color="000000"/>
                          <w:right w:val="nil" w:sz="6" w:space="0" w:color="auto"/>
                        </w:tcBorders>
                      </w:tcPr>
                      <w:p>
                        <w:pPr>
                          <w:pStyle w:val="TableParagraph"/>
                          <w:spacing w:line="240" w:lineRule="auto"/>
                          <w:ind w:right="0"/>
                          <w:jc w:val="left"/>
                          <w:rPr>
                            <w:rFonts w:ascii="宋体" w:hAnsi="宋体" w:cs="宋体" w:eastAsia="宋体"/>
                            <w:sz w:val="28"/>
                            <w:szCs w:val="28"/>
                          </w:rPr>
                        </w:pPr>
                      </w:p>
                      <w:p>
                        <w:pPr>
                          <w:pStyle w:val="TableParagraph"/>
                          <w:spacing w:line="240" w:lineRule="auto"/>
                          <w:ind w:right="0"/>
                          <w:jc w:val="left"/>
                          <w:rPr>
                            <w:rFonts w:ascii="宋体" w:hAnsi="宋体" w:cs="宋体" w:eastAsia="宋体"/>
                            <w:sz w:val="28"/>
                            <w:szCs w:val="28"/>
                          </w:rPr>
                        </w:pPr>
                      </w:p>
                      <w:p>
                        <w:pPr>
                          <w:pStyle w:val="TableParagraph"/>
                          <w:spacing w:line="240" w:lineRule="auto"/>
                          <w:ind w:right="0"/>
                          <w:jc w:val="left"/>
                          <w:rPr>
                            <w:rFonts w:ascii="宋体" w:hAnsi="宋体" w:cs="宋体" w:eastAsia="宋体"/>
                            <w:sz w:val="28"/>
                            <w:szCs w:val="28"/>
                          </w:rPr>
                        </w:pPr>
                      </w:p>
                      <w:p>
                        <w:pPr>
                          <w:pStyle w:val="TableParagraph"/>
                          <w:spacing w:line="240" w:lineRule="auto" w:before="235"/>
                          <w:ind w:left="67" w:right="0"/>
                          <w:jc w:val="left"/>
                          <w:rPr>
                            <w:rFonts w:ascii="宋体" w:hAnsi="宋体" w:cs="宋体" w:eastAsia="宋体"/>
                            <w:sz w:val="28"/>
                            <w:szCs w:val="28"/>
                          </w:rPr>
                        </w:pPr>
                        <w:r>
                          <w:rPr>
                            <w:rFonts w:ascii="宋体" w:hAnsi="宋体" w:cs="宋体" w:eastAsia="宋体"/>
                            <w:w w:val="100"/>
                            <w:sz w:val="28"/>
                            <w:szCs w:val="28"/>
                          </w:rPr>
                          <w:t>目</w:t>
                        </w:r>
                      </w:p>
                    </w:tc>
                    <w:tc>
                      <w:tcPr>
                        <w:tcW w:w="84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86"/>
                          <w:ind w:left="106" w:right="0"/>
                          <w:jc w:val="left"/>
                          <w:rPr>
                            <w:rFonts w:ascii="宋体" w:hAnsi="宋体" w:cs="宋体" w:eastAsia="宋体"/>
                            <w:sz w:val="28"/>
                            <w:szCs w:val="28"/>
                          </w:rPr>
                        </w:pPr>
                        <w:r>
                          <w:rPr>
                            <w:rFonts w:ascii="宋体" w:hAnsi="宋体" w:cs="宋体" w:eastAsia="宋体"/>
                            <w:w w:val="100"/>
                            <w:sz w:val="28"/>
                            <w:szCs w:val="28"/>
                          </w:rPr>
                          <w:t>可</w:t>
                        </w:r>
                        <w:r>
                          <w:rPr>
                            <w:rFonts w:ascii="宋体" w:hAnsi="宋体" w:cs="宋体" w:eastAsia="宋体"/>
                            <w:spacing w:val="-73"/>
                            <w:sz w:val="28"/>
                            <w:szCs w:val="28"/>
                          </w:rPr>
                          <w:t> </w:t>
                        </w:r>
                        <w:r>
                          <w:rPr>
                            <w:rFonts w:ascii="宋体" w:hAnsi="宋体" w:cs="宋体" w:eastAsia="宋体"/>
                            <w:w w:val="100"/>
                            <w:sz w:val="28"/>
                            <w:szCs w:val="28"/>
                          </w:rPr>
                          <w:t>比</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宋体" w:hAnsi="宋体" w:cs="宋体" w:eastAsia="宋体"/>
                            <w:sz w:val="26"/>
                            <w:szCs w:val="26"/>
                          </w:rPr>
                        </w:pPr>
                      </w:p>
                      <w:p>
                        <w:pPr>
                          <w:pStyle w:val="TableParagraph"/>
                          <w:spacing w:line="240" w:lineRule="auto" w:before="10"/>
                          <w:ind w:right="0"/>
                          <w:jc w:val="left"/>
                          <w:rPr>
                            <w:rFonts w:ascii="宋体" w:hAnsi="宋体" w:cs="宋体" w:eastAsia="宋体"/>
                            <w:sz w:val="30"/>
                            <w:szCs w:val="30"/>
                          </w:rPr>
                        </w:pPr>
                      </w:p>
                      <w:p>
                        <w:pPr>
                          <w:pStyle w:val="TableParagraph"/>
                          <w:spacing w:line="240" w:lineRule="auto"/>
                          <w:ind w:right="1"/>
                          <w:jc w:val="center"/>
                          <w:rPr>
                            <w:rFonts w:ascii="Calibri" w:hAnsi="Calibri" w:cs="Calibri" w:eastAsia="Calibri"/>
                            <w:sz w:val="24"/>
                            <w:szCs w:val="24"/>
                          </w:rPr>
                        </w:pPr>
                        <w:r>
                          <w:rPr>
                            <w:rFonts w:ascii="宋体" w:hAnsi="宋体" w:cs="宋体" w:eastAsia="宋体"/>
                            <w:sz w:val="24"/>
                            <w:szCs w:val="24"/>
                          </w:rPr>
                          <w:t>实例</w:t>
                        </w:r>
                        <w:r>
                          <w:rPr>
                            <w:rFonts w:ascii="宋体" w:hAnsi="宋体" w:cs="宋体" w:eastAsia="宋体"/>
                            <w:spacing w:val="-60"/>
                            <w:sz w:val="24"/>
                            <w:szCs w:val="24"/>
                          </w:rPr>
                          <w:t> </w:t>
                        </w:r>
                        <w:r>
                          <w:rPr>
                            <w:rFonts w:ascii="Calibri" w:hAnsi="Calibri" w:cs="Calibri" w:eastAsia="Calibri"/>
                            <w:w w:val="99"/>
                            <w:sz w:val="24"/>
                            <w:szCs w:val="24"/>
                          </w:rPr>
                          <w:t>1</w:t>
                        </w:r>
                        <w:r>
                          <w:rPr>
                            <w:rFonts w:ascii="Calibri" w:hAnsi="Calibri" w:cs="Calibri" w:eastAsia="Calibri"/>
                            <w:sz w:val="24"/>
                            <w:szCs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宋体" w:hAnsi="宋体" w:cs="宋体" w:eastAsia="宋体"/>
                            <w:sz w:val="26"/>
                            <w:szCs w:val="26"/>
                          </w:rPr>
                        </w:pPr>
                      </w:p>
                      <w:p>
                        <w:pPr>
                          <w:pStyle w:val="TableParagraph"/>
                          <w:spacing w:line="240" w:lineRule="auto" w:before="10"/>
                          <w:ind w:right="0"/>
                          <w:jc w:val="left"/>
                          <w:rPr>
                            <w:rFonts w:ascii="宋体" w:hAnsi="宋体" w:cs="宋体" w:eastAsia="宋体"/>
                            <w:sz w:val="30"/>
                            <w:szCs w:val="30"/>
                          </w:rPr>
                        </w:pPr>
                      </w:p>
                      <w:p>
                        <w:pPr>
                          <w:pStyle w:val="TableParagraph"/>
                          <w:spacing w:line="240" w:lineRule="auto"/>
                          <w:ind w:right="0"/>
                          <w:jc w:val="center"/>
                          <w:rPr>
                            <w:rFonts w:ascii="Calibri" w:hAnsi="Calibri" w:cs="Calibri" w:eastAsia="Calibri"/>
                            <w:sz w:val="24"/>
                            <w:szCs w:val="24"/>
                          </w:rPr>
                        </w:pPr>
                        <w:r>
                          <w:rPr>
                            <w:rFonts w:ascii="宋体" w:hAnsi="宋体" w:cs="宋体" w:eastAsia="宋体"/>
                            <w:sz w:val="24"/>
                            <w:szCs w:val="24"/>
                          </w:rPr>
                          <w:t>实例</w:t>
                        </w:r>
                        <w:r>
                          <w:rPr>
                            <w:rFonts w:ascii="宋体" w:hAnsi="宋体" w:cs="宋体" w:eastAsia="宋体"/>
                            <w:spacing w:val="-60"/>
                            <w:sz w:val="24"/>
                            <w:szCs w:val="24"/>
                          </w:rPr>
                          <w:t> </w:t>
                        </w:r>
                        <w:r>
                          <w:rPr>
                            <w:rFonts w:ascii="Calibri" w:hAnsi="Calibri" w:cs="Calibri" w:eastAsia="Calibri"/>
                            <w:w w:val="99"/>
                            <w:sz w:val="24"/>
                            <w:szCs w:val="24"/>
                          </w:rPr>
                          <w:t>2</w:t>
                        </w:r>
                        <w:r>
                          <w:rPr>
                            <w:rFonts w:ascii="Calibri" w:hAnsi="Calibri" w:cs="Calibri" w:eastAsia="Calibri"/>
                            <w:sz w:val="24"/>
                            <w:szCs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宋体" w:hAnsi="宋体" w:cs="宋体" w:eastAsia="宋体"/>
                            <w:sz w:val="26"/>
                            <w:szCs w:val="26"/>
                          </w:rPr>
                        </w:pPr>
                      </w:p>
                      <w:p>
                        <w:pPr>
                          <w:pStyle w:val="TableParagraph"/>
                          <w:spacing w:line="240" w:lineRule="auto" w:before="10"/>
                          <w:ind w:right="0"/>
                          <w:jc w:val="left"/>
                          <w:rPr>
                            <w:rFonts w:ascii="宋体" w:hAnsi="宋体" w:cs="宋体" w:eastAsia="宋体"/>
                            <w:sz w:val="30"/>
                            <w:szCs w:val="30"/>
                          </w:rPr>
                        </w:pPr>
                      </w:p>
                      <w:p>
                        <w:pPr>
                          <w:pStyle w:val="TableParagraph"/>
                          <w:spacing w:line="240" w:lineRule="auto"/>
                          <w:ind w:right="1"/>
                          <w:jc w:val="center"/>
                          <w:rPr>
                            <w:rFonts w:ascii="Calibri" w:hAnsi="Calibri" w:cs="Calibri" w:eastAsia="Calibri"/>
                            <w:sz w:val="24"/>
                            <w:szCs w:val="24"/>
                          </w:rPr>
                        </w:pPr>
                        <w:r>
                          <w:rPr>
                            <w:rFonts w:ascii="宋体" w:hAnsi="宋体" w:cs="宋体" w:eastAsia="宋体"/>
                            <w:sz w:val="24"/>
                            <w:szCs w:val="24"/>
                          </w:rPr>
                          <w:t>实例</w:t>
                        </w:r>
                        <w:r>
                          <w:rPr>
                            <w:rFonts w:ascii="宋体" w:hAnsi="宋体" w:cs="宋体" w:eastAsia="宋体"/>
                            <w:spacing w:val="-60"/>
                            <w:sz w:val="24"/>
                            <w:szCs w:val="24"/>
                          </w:rPr>
                          <w:t> </w:t>
                        </w:r>
                        <w:r>
                          <w:rPr>
                            <w:rFonts w:ascii="Calibri" w:hAnsi="Calibri" w:cs="Calibri" w:eastAsia="Calibri"/>
                            <w:w w:val="99"/>
                            <w:sz w:val="24"/>
                            <w:szCs w:val="24"/>
                          </w:rPr>
                          <w:t>3</w:t>
                        </w:r>
                        <w:r>
                          <w:rPr>
                            <w:rFonts w:ascii="Calibri" w:hAnsi="Calibri" w:cs="Calibri" w:eastAsia="Calibri"/>
                            <w:sz w:val="24"/>
                            <w:szCs w:val="24"/>
                          </w:rPr>
                        </w:r>
                      </w:p>
                    </w:tc>
                  </w:tr>
                  <w:tr>
                    <w:trPr>
                      <w:trHeight w:val="321" w:hRule="exact"/>
                    </w:trPr>
                    <w:tc>
                      <w:tcPr>
                        <w:tcW w:w="880" w:type="dxa"/>
                        <w:tcBorders>
                          <w:top w:val="single" w:sz="4" w:space="0" w:color="000000"/>
                          <w:left w:val="single" w:sz="4" w:space="0" w:color="000000"/>
                          <w:bottom w:val="single" w:sz="4" w:space="0" w:color="000000"/>
                          <w:right w:val="nil" w:sz="6" w:space="0" w:color="auto"/>
                        </w:tcBorders>
                      </w:tcPr>
                      <w:p>
                        <w:pPr>
                          <w:pStyle w:val="TableParagraph"/>
                          <w:spacing w:line="277" w:lineRule="exact"/>
                          <w:ind w:left="567" w:right="0"/>
                          <w:jc w:val="left"/>
                          <w:rPr>
                            <w:rFonts w:ascii="宋体" w:hAnsi="宋体" w:cs="宋体" w:eastAsia="宋体"/>
                            <w:sz w:val="24"/>
                            <w:szCs w:val="24"/>
                          </w:rPr>
                        </w:pPr>
                        <w:r>
                          <w:rPr>
                            <w:rFonts w:ascii="宋体" w:hAnsi="宋体" w:cs="宋体" w:eastAsia="宋体"/>
                            <w:sz w:val="24"/>
                            <w:szCs w:val="24"/>
                          </w:rPr>
                          <w:t>坐</w:t>
                        </w:r>
                      </w:p>
                    </w:tc>
                    <w:tc>
                      <w:tcPr>
                        <w:tcW w:w="381" w:type="dxa"/>
                        <w:tcBorders>
                          <w:top w:val="single" w:sz="4" w:space="0" w:color="000000"/>
                          <w:left w:val="nil" w:sz="6" w:space="0" w:color="auto"/>
                          <w:bottom w:val="single" w:sz="4" w:space="0" w:color="000000"/>
                          <w:right w:val="nil" w:sz="6" w:space="0" w:color="auto"/>
                        </w:tcBorders>
                      </w:tcPr>
                      <w:p>
                        <w:pPr/>
                      </w:p>
                    </w:tc>
                    <w:tc>
                      <w:tcPr>
                        <w:tcW w:w="845" w:type="dxa"/>
                        <w:tcBorders>
                          <w:top w:val="single" w:sz="4" w:space="0" w:color="000000"/>
                          <w:left w:val="nil" w:sz="6" w:space="0" w:color="auto"/>
                          <w:bottom w:val="single" w:sz="4" w:space="0" w:color="000000"/>
                          <w:right w:val="single" w:sz="4" w:space="0" w:color="000000"/>
                        </w:tcBorders>
                      </w:tcPr>
                      <w:p>
                        <w:pPr>
                          <w:pStyle w:val="TableParagraph"/>
                          <w:spacing w:line="277" w:lineRule="exact"/>
                          <w:ind w:left="32" w:right="0"/>
                          <w:jc w:val="left"/>
                          <w:rPr>
                            <w:rFonts w:ascii="宋体" w:hAnsi="宋体" w:cs="宋体" w:eastAsia="宋体"/>
                            <w:sz w:val="24"/>
                            <w:szCs w:val="24"/>
                          </w:rPr>
                        </w:pPr>
                        <w:r>
                          <w:rPr>
                            <w:rFonts w:ascii="宋体" w:hAnsi="宋体" w:cs="宋体" w:eastAsia="宋体"/>
                            <w:sz w:val="24"/>
                            <w:szCs w:val="24"/>
                          </w:rPr>
                          <w:t>落</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687" w:right="0"/>
                          <w:jc w:val="left"/>
                          <w:rPr>
                            <w:rFonts w:ascii="宋体" w:hAnsi="宋体" w:cs="宋体" w:eastAsia="宋体"/>
                            <w:sz w:val="24"/>
                            <w:szCs w:val="24"/>
                          </w:rPr>
                        </w:pPr>
                        <w:r>
                          <w:rPr>
                            <w:rFonts w:ascii="宋体" w:hAnsi="宋体" w:cs="宋体" w:eastAsia="宋体"/>
                            <w:sz w:val="24"/>
                            <w:szCs w:val="24"/>
                          </w:rPr>
                          <w:t>东海县</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688" w:right="0"/>
                          <w:jc w:val="left"/>
                          <w:rPr>
                            <w:rFonts w:ascii="宋体" w:hAnsi="宋体" w:cs="宋体" w:eastAsia="宋体"/>
                            <w:sz w:val="24"/>
                            <w:szCs w:val="24"/>
                          </w:rPr>
                        </w:pPr>
                        <w:r>
                          <w:rPr>
                            <w:rFonts w:ascii="宋体" w:hAnsi="宋体" w:cs="宋体" w:eastAsia="宋体"/>
                            <w:sz w:val="24"/>
                            <w:szCs w:val="24"/>
                          </w:rPr>
                          <w:t>东海县</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687" w:right="0"/>
                          <w:jc w:val="left"/>
                          <w:rPr>
                            <w:rFonts w:ascii="宋体" w:hAnsi="宋体" w:cs="宋体" w:eastAsia="宋体"/>
                            <w:sz w:val="24"/>
                            <w:szCs w:val="24"/>
                          </w:rPr>
                        </w:pPr>
                        <w:r>
                          <w:rPr>
                            <w:rFonts w:ascii="宋体" w:hAnsi="宋体" w:cs="宋体" w:eastAsia="宋体"/>
                            <w:sz w:val="24"/>
                            <w:szCs w:val="24"/>
                          </w:rPr>
                          <w:t>赣榆区</w:t>
                        </w:r>
                      </w:p>
                    </w:tc>
                  </w:tr>
                  <w:tr>
                    <w:trPr>
                      <w:trHeight w:val="349" w:hRule="exact"/>
                    </w:trPr>
                    <w:tc>
                      <w:tcPr>
                        <w:tcW w:w="2105" w:type="dxa"/>
                        <w:gridSpan w:val="3"/>
                        <w:tcBorders>
                          <w:top w:val="single" w:sz="4" w:space="0" w:color="000000"/>
                          <w:left w:val="single" w:sz="4" w:space="0" w:color="000000"/>
                          <w:bottom w:val="single" w:sz="4" w:space="0" w:color="000000"/>
                          <w:right w:val="single" w:sz="4" w:space="0" w:color="000000"/>
                        </w:tcBorders>
                      </w:tcPr>
                      <w:p>
                        <w:pPr>
                          <w:pStyle w:val="TableParagraph"/>
                          <w:spacing w:line="289" w:lineRule="exact"/>
                          <w:ind w:left="567" w:right="0"/>
                          <w:jc w:val="left"/>
                          <w:rPr>
                            <w:rFonts w:ascii="宋体" w:hAnsi="宋体" w:cs="宋体" w:eastAsia="宋体"/>
                            <w:sz w:val="24"/>
                            <w:szCs w:val="24"/>
                          </w:rPr>
                        </w:pPr>
                        <w:r>
                          <w:rPr>
                            <w:rFonts w:ascii="宋体" w:hAnsi="宋体" w:cs="宋体" w:eastAsia="宋体"/>
                            <w:sz w:val="24"/>
                            <w:szCs w:val="24"/>
                          </w:rPr>
                          <w:t>土地用途</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ind w:right="1"/>
                          <w:jc w:val="center"/>
                          <w:rPr>
                            <w:rFonts w:ascii="宋体" w:hAnsi="宋体" w:cs="宋体" w:eastAsia="宋体"/>
                            <w:sz w:val="24"/>
                            <w:szCs w:val="24"/>
                          </w:rPr>
                        </w:pPr>
                        <w:r>
                          <w:rPr>
                            <w:rFonts w:ascii="宋体" w:hAnsi="宋体" w:cs="宋体" w:eastAsia="宋体"/>
                            <w:sz w:val="24"/>
                            <w:szCs w:val="24"/>
                          </w:rPr>
                          <w:t>水田</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ind w:left="1" w:right="0"/>
                          <w:jc w:val="center"/>
                          <w:rPr>
                            <w:rFonts w:ascii="宋体" w:hAnsi="宋体" w:cs="宋体" w:eastAsia="宋体"/>
                            <w:sz w:val="24"/>
                            <w:szCs w:val="24"/>
                          </w:rPr>
                        </w:pPr>
                        <w:r>
                          <w:rPr>
                            <w:rFonts w:ascii="宋体" w:hAnsi="宋体" w:cs="宋体" w:eastAsia="宋体"/>
                            <w:sz w:val="24"/>
                            <w:szCs w:val="24"/>
                          </w:rPr>
                          <w:t>旱地</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ind w:left="327" w:right="0"/>
                          <w:jc w:val="left"/>
                          <w:rPr>
                            <w:rFonts w:ascii="宋体" w:hAnsi="宋体" w:cs="宋体" w:eastAsia="宋体"/>
                            <w:sz w:val="24"/>
                            <w:szCs w:val="24"/>
                          </w:rPr>
                        </w:pPr>
                        <w:r>
                          <w:rPr>
                            <w:rFonts w:ascii="宋体" w:hAnsi="宋体" w:cs="宋体" w:eastAsia="宋体"/>
                            <w:sz w:val="24"/>
                            <w:szCs w:val="24"/>
                          </w:rPr>
                          <w:t>综合养殖用地</w:t>
                        </w:r>
                      </w:p>
                    </w:tc>
                  </w:tr>
                  <w:tr>
                    <w:trPr>
                      <w:trHeight w:val="322" w:hRule="exact"/>
                    </w:trPr>
                    <w:tc>
                      <w:tcPr>
                        <w:tcW w:w="2105" w:type="dxa"/>
                        <w:gridSpan w:val="3"/>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447" w:right="0"/>
                          <w:jc w:val="left"/>
                          <w:rPr>
                            <w:rFonts w:ascii="宋体" w:hAnsi="宋体" w:cs="宋体" w:eastAsia="宋体"/>
                            <w:sz w:val="24"/>
                            <w:szCs w:val="24"/>
                          </w:rPr>
                        </w:pPr>
                        <w:r>
                          <w:rPr>
                            <w:rFonts w:ascii="宋体" w:hAnsi="宋体" w:cs="宋体" w:eastAsia="宋体"/>
                            <w:sz w:val="24"/>
                            <w:szCs w:val="24"/>
                          </w:rPr>
                          <w:t>面积（亩）</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 w:right="0"/>
                          <w:jc w:val="center"/>
                          <w:rPr>
                            <w:rFonts w:ascii="Calibri" w:hAnsi="Calibri" w:cs="Calibri" w:eastAsia="Calibri"/>
                            <w:sz w:val="24"/>
                            <w:szCs w:val="24"/>
                          </w:rPr>
                        </w:pPr>
                        <w:r>
                          <w:rPr>
                            <w:rFonts w:ascii="Calibri"/>
                            <w:w w:val="99"/>
                            <w:sz w:val="24"/>
                          </w:rPr>
                          <w:t>30</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 w:right="0"/>
                          <w:jc w:val="center"/>
                          <w:rPr>
                            <w:rFonts w:ascii="Calibri" w:hAnsi="Calibri" w:cs="Calibri" w:eastAsia="Calibri"/>
                            <w:sz w:val="24"/>
                            <w:szCs w:val="24"/>
                          </w:rPr>
                        </w:pPr>
                        <w:r>
                          <w:rPr>
                            <w:rFonts w:ascii="Calibri"/>
                            <w:w w:val="99"/>
                            <w:sz w:val="24"/>
                          </w:rPr>
                          <w:t>100</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 w:right="0"/>
                          <w:jc w:val="center"/>
                          <w:rPr>
                            <w:rFonts w:ascii="Calibri" w:hAnsi="Calibri" w:cs="Calibri" w:eastAsia="Calibri"/>
                            <w:sz w:val="24"/>
                            <w:szCs w:val="24"/>
                          </w:rPr>
                        </w:pPr>
                        <w:r>
                          <w:rPr>
                            <w:rFonts w:ascii="Calibri"/>
                            <w:w w:val="99"/>
                            <w:sz w:val="24"/>
                          </w:rPr>
                          <w:t>40</w:t>
                        </w:r>
                        <w:r>
                          <w:rPr>
                            <w:rFonts w:ascii="Calibri"/>
                            <w:sz w:val="24"/>
                          </w:rPr>
                        </w:r>
                      </w:p>
                    </w:tc>
                  </w:tr>
                  <w:tr>
                    <w:trPr>
                      <w:trHeight w:val="321" w:hRule="exact"/>
                    </w:trPr>
                    <w:tc>
                      <w:tcPr>
                        <w:tcW w:w="2105" w:type="dxa"/>
                        <w:gridSpan w:val="3"/>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207" w:right="0"/>
                          <w:jc w:val="left"/>
                          <w:rPr>
                            <w:rFonts w:ascii="宋体" w:hAnsi="宋体" w:cs="宋体" w:eastAsia="宋体"/>
                            <w:sz w:val="24"/>
                            <w:szCs w:val="24"/>
                          </w:rPr>
                        </w:pPr>
                        <w:r>
                          <w:rPr>
                            <w:rFonts w:ascii="宋体" w:hAnsi="宋体" w:cs="宋体" w:eastAsia="宋体"/>
                            <w:sz w:val="24"/>
                            <w:szCs w:val="24"/>
                          </w:rPr>
                          <w:t>流转年期（年）</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center"/>
                          <w:rPr>
                            <w:rFonts w:ascii="Calibri" w:hAnsi="Calibri" w:cs="Calibri" w:eastAsia="Calibri"/>
                            <w:sz w:val="24"/>
                            <w:szCs w:val="24"/>
                          </w:rPr>
                        </w:pPr>
                        <w:r>
                          <w:rPr>
                            <w:rFonts w:ascii="Calibri"/>
                            <w:w w:val="99"/>
                            <w:sz w:val="24"/>
                          </w:rPr>
                          <w:t>3</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
                          <w:jc w:val="center"/>
                          <w:rPr>
                            <w:rFonts w:ascii="Calibri" w:hAnsi="Calibri" w:cs="Calibri" w:eastAsia="Calibri"/>
                            <w:sz w:val="24"/>
                            <w:szCs w:val="24"/>
                          </w:rPr>
                        </w:pPr>
                        <w:r>
                          <w:rPr>
                            <w:rFonts w:ascii="Calibri"/>
                            <w:w w:val="99"/>
                            <w:sz w:val="24"/>
                          </w:rPr>
                          <w:t>8</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 w:right="0"/>
                          <w:jc w:val="center"/>
                          <w:rPr>
                            <w:rFonts w:ascii="Calibri" w:hAnsi="Calibri" w:cs="Calibri" w:eastAsia="Calibri"/>
                            <w:sz w:val="24"/>
                            <w:szCs w:val="24"/>
                          </w:rPr>
                        </w:pPr>
                        <w:r>
                          <w:rPr>
                            <w:rFonts w:ascii="Calibri"/>
                            <w:w w:val="99"/>
                            <w:sz w:val="24"/>
                          </w:rPr>
                          <w:t>10</w:t>
                        </w:r>
                        <w:r>
                          <w:rPr>
                            <w:rFonts w:ascii="Calibri"/>
                            <w:sz w:val="24"/>
                          </w:rPr>
                        </w:r>
                      </w:p>
                    </w:tc>
                  </w:tr>
                  <w:tr>
                    <w:trPr>
                      <w:trHeight w:val="321" w:hRule="exact"/>
                    </w:trPr>
                    <w:tc>
                      <w:tcPr>
                        <w:tcW w:w="2105" w:type="dxa"/>
                        <w:gridSpan w:val="3"/>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567" w:right="0"/>
                          <w:jc w:val="left"/>
                          <w:rPr>
                            <w:rFonts w:ascii="宋体" w:hAnsi="宋体" w:cs="宋体" w:eastAsia="宋体"/>
                            <w:sz w:val="24"/>
                            <w:szCs w:val="24"/>
                          </w:rPr>
                        </w:pPr>
                        <w:r>
                          <w:rPr>
                            <w:rFonts w:ascii="宋体" w:hAnsi="宋体" w:cs="宋体" w:eastAsia="宋体"/>
                            <w:sz w:val="24"/>
                            <w:szCs w:val="24"/>
                          </w:rPr>
                          <w:t>交易日期</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305" w:lineRule="exact"/>
                          <w:ind w:left="413" w:right="0"/>
                          <w:jc w:val="left"/>
                          <w:rPr>
                            <w:rFonts w:ascii="宋体" w:hAnsi="宋体" w:cs="宋体" w:eastAsia="宋体"/>
                            <w:sz w:val="24"/>
                            <w:szCs w:val="24"/>
                          </w:rPr>
                        </w:pPr>
                        <w:r>
                          <w:rPr>
                            <w:rFonts w:ascii="Calibri" w:hAnsi="Calibri" w:cs="Calibri" w:eastAsia="Calibri"/>
                            <w:w w:val="99"/>
                            <w:sz w:val="24"/>
                            <w:szCs w:val="24"/>
                          </w:rPr>
                          <w:t>2018</w:t>
                        </w:r>
                        <w:r>
                          <w:rPr>
                            <w:rFonts w:ascii="Calibri" w:hAnsi="Calibri" w:cs="Calibri" w:eastAsia="Calibri"/>
                            <w:spacing w:val="4"/>
                            <w:sz w:val="24"/>
                            <w:szCs w:val="24"/>
                          </w:rPr>
                          <w:t> </w:t>
                        </w:r>
                        <w:r>
                          <w:rPr>
                            <w:rFonts w:ascii="宋体" w:hAnsi="宋体" w:cs="宋体" w:eastAsia="宋体"/>
                            <w:sz w:val="24"/>
                            <w:szCs w:val="24"/>
                          </w:rPr>
                          <w:t>年</w:t>
                        </w:r>
                        <w:r>
                          <w:rPr>
                            <w:rFonts w:ascii="宋体" w:hAnsi="宋体" w:cs="宋体" w:eastAsia="宋体"/>
                            <w:spacing w:val="-60"/>
                            <w:sz w:val="24"/>
                            <w:szCs w:val="24"/>
                          </w:rPr>
                          <w:t> </w:t>
                        </w:r>
                        <w:r>
                          <w:rPr>
                            <w:rFonts w:ascii="Calibri" w:hAnsi="Calibri" w:cs="Calibri" w:eastAsia="Calibri"/>
                            <w:w w:val="99"/>
                            <w:sz w:val="24"/>
                            <w:szCs w:val="24"/>
                          </w:rPr>
                          <w:t>8</w:t>
                        </w:r>
                        <w:r>
                          <w:rPr>
                            <w:rFonts w:ascii="Calibri" w:hAnsi="Calibri" w:cs="Calibri" w:eastAsia="Calibri"/>
                            <w:spacing w:val="6"/>
                            <w:sz w:val="24"/>
                            <w:szCs w:val="24"/>
                          </w:rPr>
                          <w:t> </w:t>
                        </w:r>
                        <w:r>
                          <w:rPr>
                            <w:rFonts w:ascii="宋体" w:hAnsi="宋体" w:cs="宋体" w:eastAsia="宋体"/>
                            <w:sz w:val="24"/>
                            <w:szCs w:val="24"/>
                          </w:rPr>
                          <w:t>月</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305" w:lineRule="exact"/>
                          <w:ind w:left="415" w:right="0"/>
                          <w:jc w:val="left"/>
                          <w:rPr>
                            <w:rFonts w:ascii="宋体" w:hAnsi="宋体" w:cs="宋体" w:eastAsia="宋体"/>
                            <w:sz w:val="24"/>
                            <w:szCs w:val="24"/>
                          </w:rPr>
                        </w:pPr>
                        <w:r>
                          <w:rPr>
                            <w:rFonts w:ascii="Calibri" w:hAnsi="Calibri" w:cs="Calibri" w:eastAsia="Calibri"/>
                            <w:w w:val="99"/>
                            <w:sz w:val="24"/>
                            <w:szCs w:val="24"/>
                          </w:rPr>
                          <w:t>2018</w:t>
                        </w:r>
                        <w:r>
                          <w:rPr>
                            <w:rFonts w:ascii="Calibri" w:hAnsi="Calibri" w:cs="Calibri" w:eastAsia="Calibri"/>
                            <w:spacing w:val="1"/>
                            <w:sz w:val="24"/>
                            <w:szCs w:val="24"/>
                          </w:rPr>
                          <w:t> </w:t>
                        </w:r>
                        <w:r>
                          <w:rPr>
                            <w:rFonts w:ascii="宋体" w:hAnsi="宋体" w:cs="宋体" w:eastAsia="宋体"/>
                            <w:sz w:val="24"/>
                            <w:szCs w:val="24"/>
                          </w:rPr>
                          <w:t>年</w:t>
                        </w:r>
                        <w:r>
                          <w:rPr>
                            <w:rFonts w:ascii="宋体" w:hAnsi="宋体" w:cs="宋体" w:eastAsia="宋体"/>
                            <w:spacing w:val="-60"/>
                            <w:sz w:val="24"/>
                            <w:szCs w:val="24"/>
                          </w:rPr>
                          <w:t> </w:t>
                        </w:r>
                        <w:r>
                          <w:rPr>
                            <w:rFonts w:ascii="Calibri" w:hAnsi="Calibri" w:cs="Calibri" w:eastAsia="Calibri"/>
                            <w:w w:val="99"/>
                            <w:sz w:val="24"/>
                            <w:szCs w:val="24"/>
                          </w:rPr>
                          <w:t>8</w:t>
                        </w:r>
                        <w:r>
                          <w:rPr>
                            <w:rFonts w:ascii="Calibri" w:hAnsi="Calibri" w:cs="Calibri" w:eastAsia="Calibri"/>
                            <w:spacing w:val="6"/>
                            <w:sz w:val="24"/>
                            <w:szCs w:val="24"/>
                          </w:rPr>
                          <w:t> </w:t>
                        </w:r>
                        <w:r>
                          <w:rPr>
                            <w:rFonts w:ascii="宋体" w:hAnsi="宋体" w:cs="宋体" w:eastAsia="宋体"/>
                            <w:sz w:val="24"/>
                            <w:szCs w:val="24"/>
                          </w:rPr>
                          <w:t>月</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305" w:lineRule="exact"/>
                          <w:ind w:left="413" w:right="0"/>
                          <w:jc w:val="left"/>
                          <w:rPr>
                            <w:rFonts w:ascii="宋体" w:hAnsi="宋体" w:cs="宋体" w:eastAsia="宋体"/>
                            <w:sz w:val="24"/>
                            <w:szCs w:val="24"/>
                          </w:rPr>
                        </w:pPr>
                        <w:r>
                          <w:rPr>
                            <w:rFonts w:ascii="Calibri" w:hAnsi="Calibri" w:cs="Calibri" w:eastAsia="Calibri"/>
                            <w:w w:val="99"/>
                            <w:sz w:val="24"/>
                            <w:szCs w:val="24"/>
                          </w:rPr>
                          <w:t>2018</w:t>
                        </w:r>
                        <w:r>
                          <w:rPr>
                            <w:rFonts w:ascii="Calibri" w:hAnsi="Calibri" w:cs="Calibri" w:eastAsia="Calibri"/>
                            <w:spacing w:val="4"/>
                            <w:sz w:val="24"/>
                            <w:szCs w:val="24"/>
                          </w:rPr>
                          <w:t> </w:t>
                        </w:r>
                        <w:r>
                          <w:rPr>
                            <w:rFonts w:ascii="宋体" w:hAnsi="宋体" w:cs="宋体" w:eastAsia="宋体"/>
                            <w:sz w:val="24"/>
                            <w:szCs w:val="24"/>
                          </w:rPr>
                          <w:t>年</w:t>
                        </w:r>
                        <w:r>
                          <w:rPr>
                            <w:rFonts w:ascii="宋体" w:hAnsi="宋体" w:cs="宋体" w:eastAsia="宋体"/>
                            <w:spacing w:val="-60"/>
                            <w:sz w:val="24"/>
                            <w:szCs w:val="24"/>
                          </w:rPr>
                          <w:t> </w:t>
                        </w:r>
                        <w:r>
                          <w:rPr>
                            <w:rFonts w:ascii="Calibri" w:hAnsi="Calibri" w:cs="Calibri" w:eastAsia="Calibri"/>
                            <w:w w:val="99"/>
                            <w:sz w:val="24"/>
                            <w:szCs w:val="24"/>
                          </w:rPr>
                          <w:t>6</w:t>
                        </w:r>
                        <w:r>
                          <w:rPr>
                            <w:rFonts w:ascii="Calibri" w:hAnsi="Calibri" w:cs="Calibri" w:eastAsia="Calibri"/>
                            <w:spacing w:val="6"/>
                            <w:sz w:val="24"/>
                            <w:szCs w:val="24"/>
                          </w:rPr>
                          <w:t> </w:t>
                        </w:r>
                        <w:r>
                          <w:rPr>
                            <w:rFonts w:ascii="宋体" w:hAnsi="宋体" w:cs="宋体" w:eastAsia="宋体"/>
                            <w:sz w:val="24"/>
                            <w:szCs w:val="24"/>
                          </w:rPr>
                          <w:t>月</w:t>
                        </w:r>
                      </w:p>
                    </w:tc>
                  </w:tr>
                  <w:tr>
                    <w:trPr>
                      <w:trHeight w:val="653" w:hRule="exact"/>
                    </w:trPr>
                    <w:tc>
                      <w:tcPr>
                        <w:tcW w:w="2105" w:type="dxa"/>
                        <w:gridSpan w:val="3"/>
                        <w:tcBorders>
                          <w:top w:val="single" w:sz="4" w:space="0" w:color="000000"/>
                          <w:left w:val="single" w:sz="4" w:space="0" w:color="000000"/>
                          <w:bottom w:val="single" w:sz="4" w:space="0" w:color="000000"/>
                          <w:right w:val="single" w:sz="4" w:space="0" w:color="000000"/>
                        </w:tcBorders>
                      </w:tcPr>
                      <w:p>
                        <w:pPr>
                          <w:pStyle w:val="TableParagraph"/>
                          <w:spacing w:line="277" w:lineRule="exact"/>
                          <w:ind w:right="0"/>
                          <w:jc w:val="center"/>
                          <w:rPr>
                            <w:rFonts w:ascii="宋体" w:hAnsi="宋体" w:cs="宋体" w:eastAsia="宋体"/>
                            <w:sz w:val="24"/>
                            <w:szCs w:val="24"/>
                          </w:rPr>
                        </w:pPr>
                        <w:r>
                          <w:rPr>
                            <w:rFonts w:ascii="宋体" w:hAnsi="宋体" w:cs="宋体" w:eastAsia="宋体"/>
                            <w:sz w:val="24"/>
                            <w:szCs w:val="24"/>
                          </w:rPr>
                          <w:t>交易价格</w:t>
                        </w:r>
                      </w:p>
                      <w:p>
                        <w:pPr>
                          <w:pStyle w:val="TableParagraph"/>
                          <w:spacing w:line="240" w:lineRule="auto" w:before="17"/>
                          <w:ind w:right="0"/>
                          <w:jc w:val="center"/>
                          <w:rPr>
                            <w:rFonts w:ascii="宋体" w:hAnsi="宋体" w:cs="宋体" w:eastAsia="宋体"/>
                            <w:sz w:val="24"/>
                            <w:szCs w:val="24"/>
                          </w:rPr>
                        </w:pPr>
                        <w:r>
                          <w:rPr>
                            <w:rFonts w:ascii="宋体" w:hAnsi="宋体" w:cs="宋体" w:eastAsia="宋体"/>
                            <w:sz w:val="24"/>
                            <w:szCs w:val="24"/>
                          </w:rPr>
                          <w:t>（元</w:t>
                        </w:r>
                        <w:r>
                          <w:rPr>
                            <w:rFonts w:ascii="Calibri" w:hAnsi="Calibri" w:cs="Calibri" w:eastAsia="Calibri"/>
                            <w:spacing w:val="-2"/>
                            <w:sz w:val="24"/>
                            <w:szCs w:val="24"/>
                          </w:rPr>
                          <w:t>/</w:t>
                        </w:r>
                        <w:r>
                          <w:rPr>
                            <w:rFonts w:ascii="宋体" w:hAnsi="宋体" w:cs="宋体" w:eastAsia="宋体"/>
                            <w:sz w:val="24"/>
                            <w:szCs w:val="24"/>
                          </w:rPr>
                          <w:t>亩</w:t>
                        </w:r>
                        <w:r>
                          <w:rPr>
                            <w:rFonts w:ascii="Arial" w:hAnsi="Arial" w:cs="Arial" w:eastAsia="Arial"/>
                            <w:w w:val="100"/>
                            <w:sz w:val="28"/>
                            <w:szCs w:val="28"/>
                          </w:rPr>
                          <w:t>•</w:t>
                        </w:r>
                        <w:r>
                          <w:rPr>
                            <w:rFonts w:ascii="宋体" w:hAnsi="宋体" w:cs="宋体" w:eastAsia="宋体"/>
                            <w:sz w:val="24"/>
                            <w:szCs w:val="24"/>
                          </w:rPr>
                          <w:t>年）</w:t>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5"/>
                          <w:ind w:right="0"/>
                          <w:jc w:val="center"/>
                          <w:rPr>
                            <w:rFonts w:ascii="Calibri" w:hAnsi="Calibri" w:cs="Calibri" w:eastAsia="Calibri"/>
                            <w:sz w:val="24"/>
                            <w:szCs w:val="24"/>
                          </w:rPr>
                        </w:pPr>
                        <w:r>
                          <w:rPr>
                            <w:rFonts w:ascii="Calibri"/>
                            <w:w w:val="99"/>
                            <w:sz w:val="24"/>
                          </w:rPr>
                          <w:t>900</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5"/>
                          <w:ind w:left="2" w:right="0"/>
                          <w:jc w:val="center"/>
                          <w:rPr>
                            <w:rFonts w:ascii="Calibri" w:hAnsi="Calibri" w:cs="Calibri" w:eastAsia="Calibri"/>
                            <w:sz w:val="24"/>
                            <w:szCs w:val="24"/>
                          </w:rPr>
                        </w:pPr>
                        <w:r>
                          <w:rPr>
                            <w:rFonts w:ascii="Calibri"/>
                            <w:w w:val="99"/>
                            <w:sz w:val="24"/>
                          </w:rPr>
                          <w:t>10</w:t>
                        </w:r>
                        <w:r>
                          <w:rPr>
                            <w:rFonts w:ascii="Calibri"/>
                            <w:spacing w:val="-2"/>
                            <w:w w:val="99"/>
                            <w:sz w:val="24"/>
                          </w:rPr>
                          <w:t>0</w:t>
                        </w:r>
                        <w:r>
                          <w:rPr>
                            <w:rFonts w:ascii="Calibri"/>
                            <w:w w:val="99"/>
                            <w:sz w:val="24"/>
                          </w:rPr>
                          <w:t>0</w:t>
                        </w:r>
                        <w:r>
                          <w:rPr>
                            <w:rFonts w:ascii="Calibri"/>
                            <w:sz w:val="24"/>
                          </w:rPr>
                        </w:r>
                      </w:p>
                    </w:tc>
                    <w:tc>
                      <w:tcPr>
                        <w:tcW w:w="21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5"/>
                          <w:ind w:left="2" w:right="0"/>
                          <w:jc w:val="center"/>
                          <w:rPr>
                            <w:rFonts w:ascii="Calibri" w:hAnsi="Calibri" w:cs="Calibri" w:eastAsia="Calibri"/>
                            <w:sz w:val="24"/>
                            <w:szCs w:val="24"/>
                          </w:rPr>
                        </w:pPr>
                        <w:r>
                          <w:rPr>
                            <w:rFonts w:ascii="Calibri"/>
                            <w:w w:val="99"/>
                            <w:sz w:val="24"/>
                          </w:rPr>
                          <w:t>1000</w:t>
                        </w:r>
                        <w:r>
                          <w:rPr>
                            <w:rFonts w:ascii="Calibri"/>
                            <w:sz w:val="24"/>
                          </w:rPr>
                        </w:r>
                      </w:p>
                    </w:tc>
                  </w:tr>
                </w:tbl>
                <w:p>
                  <w:pPr/>
                </w:p>
              </w:txbxContent>
            </v:textbox>
            <w10:wrap type="none"/>
          </v:shape>
        </w:pict>
      </w:r>
      <w:r>
        <w:rPr>
          <w:rFonts w:ascii="宋体" w:hAnsi="宋体" w:cs="宋体" w:eastAsia="宋体"/>
          <w:spacing w:val="2"/>
        </w:rPr>
        <w:t>对可比实例的交易价格进行了标准化处理，标准化处理后各可比实例</w:t>
      </w:r>
      <w:r>
        <w:rPr>
          <w:rFonts w:ascii="宋体" w:hAnsi="宋体" w:cs="宋体" w:eastAsia="宋体"/>
          <w:w w:val="100"/>
        </w:rPr>
        <w:t> </w:t>
      </w:r>
      <w:r>
        <w:rPr>
          <w:rFonts w:ascii="宋体" w:hAnsi="宋体" w:cs="宋体" w:eastAsia="宋体"/>
        </w:rPr>
        <w:t>具体情况如下：</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2"/>
          <w:szCs w:val="22"/>
        </w:rPr>
      </w:pPr>
    </w:p>
    <w:p>
      <w:pPr>
        <w:pStyle w:val="BodyText"/>
        <w:spacing w:line="240" w:lineRule="auto" w:before="14"/>
        <w:ind w:left="656" w:right="0"/>
        <w:jc w:val="left"/>
        <w:rPr>
          <w:rFonts w:ascii="宋体" w:hAnsi="宋体" w:cs="宋体" w:eastAsia="宋体"/>
        </w:rPr>
      </w:pPr>
      <w:r>
        <w:rPr>
          <w:rFonts w:ascii="宋体" w:hAnsi="宋体" w:cs="宋体" w:eastAsia="宋体"/>
        </w:rPr>
        <w:t>因此采用简单算术平均法计算出比较价值：</w:t>
      </w:r>
    </w:p>
    <w:p>
      <w:pPr>
        <w:spacing w:line="240" w:lineRule="auto" w:before="9"/>
        <w:rPr>
          <w:rFonts w:ascii="宋体" w:hAnsi="宋体" w:cs="宋体" w:eastAsia="宋体"/>
          <w:sz w:val="19"/>
          <w:szCs w:val="19"/>
        </w:rPr>
      </w:pPr>
    </w:p>
    <w:p>
      <w:pPr>
        <w:pStyle w:val="BodyText"/>
        <w:spacing w:line="240" w:lineRule="auto" w:before="0"/>
        <w:ind w:left="656" w:right="0"/>
        <w:jc w:val="left"/>
        <w:rPr>
          <w:rFonts w:ascii="宋体" w:hAnsi="宋体" w:cs="宋体" w:eastAsia="宋体"/>
        </w:rPr>
      </w:pPr>
      <w:r>
        <w:rPr>
          <w:rFonts w:ascii="宋体" w:hAnsi="宋体" w:cs="宋体" w:eastAsia="宋体"/>
        </w:rPr>
        <w:t>（</w:t>
      </w:r>
      <w:r>
        <w:rPr>
          <w:rFonts w:ascii="Calibri" w:hAnsi="Calibri" w:cs="Calibri" w:eastAsia="Calibri"/>
        </w:rPr>
        <w:t>900+1000+1000</w:t>
      </w:r>
      <w:r>
        <w:rPr>
          <w:rFonts w:ascii="宋体" w:hAnsi="宋体" w:cs="宋体" w:eastAsia="宋体"/>
        </w:rPr>
        <w:t>）</w:t>
      </w:r>
      <w:r>
        <w:rPr>
          <w:rFonts w:ascii="Calibri" w:hAnsi="Calibri" w:cs="Calibri" w:eastAsia="Calibri"/>
        </w:rPr>
        <w:t>/3=967</w:t>
      </w:r>
      <w:r>
        <w:rPr>
          <w:rFonts w:ascii="宋体" w:hAnsi="宋体" w:cs="宋体" w:eastAsia="宋体"/>
        </w:rPr>
        <w:t>（元</w:t>
      </w:r>
      <w:r>
        <w:rPr>
          <w:rFonts w:ascii="Calibri" w:hAnsi="Calibri" w:cs="Calibri" w:eastAsia="Calibri"/>
        </w:rPr>
        <w:t>/</w:t>
      </w:r>
      <w:r>
        <w:rPr>
          <w:rFonts w:ascii="宋体" w:hAnsi="宋体" w:cs="宋体" w:eastAsia="宋体"/>
        </w:rPr>
        <w:t>亩</w:t>
      </w:r>
      <w:r>
        <w:rPr>
          <w:rFonts w:ascii="Arial" w:hAnsi="Arial" w:cs="Arial" w:eastAsia="Arial"/>
        </w:rPr>
        <w:t>•</w:t>
      </w:r>
      <w:r>
        <w:rPr>
          <w:rFonts w:ascii="宋体" w:hAnsi="宋体" w:cs="宋体" w:eastAsia="宋体"/>
        </w:rPr>
        <w:t>年）</w:t>
      </w:r>
    </w:p>
    <w:p>
      <w:pPr>
        <w:pStyle w:val="BodyText"/>
        <w:tabs>
          <w:tab w:pos="538" w:val="left" w:leader="none"/>
        </w:tabs>
        <w:spacing w:line="240" w:lineRule="auto" w:before="221"/>
        <w:ind w:right="0"/>
        <w:jc w:val="left"/>
        <w:rPr>
          <w:rFonts w:ascii="宋体" w:hAnsi="宋体" w:cs="宋体" w:eastAsia="宋体"/>
        </w:rPr>
      </w:pPr>
      <w:r>
        <w:rPr>
          <w:rFonts w:ascii="Wingdings" w:hAnsi="Wingdings" w:cs="Wingdings" w:eastAsia="Wingdings"/>
        </w:rPr>
        <w:t></w:t>
      </w:r>
      <w:r>
        <w:rPr>
          <w:rFonts w:ascii="Times New Roman" w:hAnsi="Times New Roman" w:cs="Times New Roman" w:eastAsia="Times New Roman"/>
        </w:rPr>
        <w:tab/>
      </w:r>
      <w:bookmarkStart w:name="收益法" w:id="49"/>
      <w:bookmarkEnd w:id="49"/>
      <w:r>
        <w:rPr>
          <w:rFonts w:ascii="Times New Roman" w:hAnsi="Times New Roman" w:cs="Times New Roman" w:eastAsia="Times New Roman"/>
        </w:rPr>
      </w:r>
      <w:r>
        <w:rPr>
          <w:rFonts w:ascii="宋体" w:hAnsi="宋体" w:cs="宋体" w:eastAsia="宋体"/>
        </w:rPr>
        <w:t>收益法</w:t>
      </w:r>
    </w:p>
    <w:p>
      <w:pPr>
        <w:pStyle w:val="BodyText"/>
        <w:spacing w:line="408" w:lineRule="auto" w:before="238"/>
        <w:ind w:left="677" w:right="0"/>
        <w:jc w:val="left"/>
        <w:rPr>
          <w:rFonts w:ascii="宋体" w:hAnsi="宋体" w:cs="宋体" w:eastAsia="宋体"/>
        </w:rPr>
      </w:pPr>
      <w:r>
        <w:rPr>
          <w:rFonts w:ascii="宋体" w:hAnsi="宋体" w:cs="宋体" w:eastAsia="宋体"/>
        </w:rPr>
        <w:t>1、收益法概述</w:t>
      </w:r>
      <w:r>
        <w:rPr>
          <w:rFonts w:ascii="宋体" w:hAnsi="宋体" w:cs="宋体" w:eastAsia="宋体"/>
          <w:w w:val="100"/>
        </w:rPr>
        <w:t> </w:t>
      </w:r>
      <w:r>
        <w:rPr>
          <w:rFonts w:ascii="宋体" w:hAnsi="宋体" w:cs="宋体" w:eastAsia="宋体"/>
          <w:spacing w:val="2"/>
        </w:rPr>
        <w:t>收益法，是指将预期收益资本化或者折现，确定评估对象价值的评估</w:t>
      </w:r>
    </w:p>
    <w:p>
      <w:pPr>
        <w:pStyle w:val="BodyText"/>
        <w:spacing w:line="240" w:lineRule="auto"/>
        <w:ind w:right="0"/>
        <w:jc w:val="left"/>
        <w:rPr>
          <w:rFonts w:ascii="宋体" w:hAnsi="宋体" w:cs="宋体" w:eastAsia="宋体"/>
        </w:rPr>
      </w:pPr>
      <w:r>
        <w:rPr>
          <w:rFonts w:ascii="宋体" w:hAnsi="宋体" w:cs="宋体" w:eastAsia="宋体"/>
        </w:rPr>
        <w:t>方法。</w:t>
      </w:r>
    </w:p>
    <w:p>
      <w:pPr>
        <w:spacing w:line="240" w:lineRule="auto" w:before="9"/>
        <w:rPr>
          <w:rFonts w:ascii="宋体" w:hAnsi="宋体" w:cs="宋体" w:eastAsia="宋体"/>
          <w:sz w:val="19"/>
          <w:szCs w:val="19"/>
        </w:rPr>
      </w:pPr>
    </w:p>
    <w:p>
      <w:pPr>
        <w:pStyle w:val="BodyText"/>
        <w:spacing w:line="240" w:lineRule="auto" w:before="0"/>
        <w:ind w:left="677" w:right="0"/>
        <w:jc w:val="left"/>
        <w:rPr>
          <w:rFonts w:ascii="宋体" w:hAnsi="宋体" w:cs="宋体" w:eastAsia="宋体"/>
        </w:rPr>
      </w:pPr>
      <w:r>
        <w:rPr>
          <w:rFonts w:ascii="宋体" w:hAnsi="宋体" w:cs="宋体" w:eastAsia="宋体"/>
          <w:spacing w:val="2"/>
        </w:rPr>
        <w:t>在采用收益法评估中，要求被评估资产价值内涵和运用的收益类型以</w:t>
      </w:r>
    </w:p>
    <w:p>
      <w:pPr>
        <w:spacing w:after="0" w:line="240" w:lineRule="auto"/>
        <w:jc w:val="left"/>
        <w:rPr>
          <w:rFonts w:ascii="宋体" w:hAnsi="宋体" w:cs="宋体" w:eastAsia="宋体"/>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pStyle w:val="BodyText"/>
        <w:spacing w:line="408" w:lineRule="auto" w:before="146"/>
        <w:ind w:left="677" w:right="3778" w:hanging="560"/>
        <w:jc w:val="left"/>
        <w:rPr>
          <w:rFonts w:ascii="宋体" w:hAnsi="宋体" w:cs="宋体" w:eastAsia="宋体"/>
        </w:rPr>
      </w:pPr>
      <w:r>
        <w:rPr>
          <w:rFonts w:ascii="宋体" w:hAnsi="宋体" w:cs="宋体" w:eastAsia="宋体"/>
        </w:rPr>
        <w:t>及折现率的口径必须是一致的。</w:t>
      </w:r>
      <w:r>
        <w:rPr>
          <w:rFonts w:ascii="宋体" w:hAnsi="宋体" w:cs="宋体" w:eastAsia="宋体"/>
          <w:w w:val="100"/>
        </w:rPr>
        <w:t> </w:t>
      </w:r>
      <w:r>
        <w:rPr>
          <w:rFonts w:ascii="宋体" w:hAnsi="宋体" w:cs="宋体" w:eastAsia="宋体"/>
        </w:rPr>
        <w:t>2、收益法适用条件</w:t>
      </w:r>
      <w:r>
        <w:rPr>
          <w:rFonts w:ascii="宋体" w:hAnsi="宋体" w:cs="宋体" w:eastAsia="宋体"/>
          <w:w w:val="100"/>
        </w:rPr>
        <w:t> </w:t>
      </w:r>
      <w:r>
        <w:rPr>
          <w:rFonts w:ascii="宋体" w:hAnsi="宋体" w:cs="宋体" w:eastAsia="宋体"/>
          <w:spacing w:val="-2"/>
        </w:rPr>
        <w:t>被评估资产必须具备以下前提条件：</w:t>
      </w:r>
    </w:p>
    <w:p>
      <w:pPr>
        <w:pStyle w:val="BodyText"/>
        <w:spacing w:line="408" w:lineRule="auto"/>
        <w:ind w:right="113" w:firstLine="559"/>
        <w:jc w:val="both"/>
        <w:rPr>
          <w:rFonts w:ascii="宋体" w:hAnsi="宋体" w:cs="宋体" w:eastAsia="宋体"/>
        </w:rPr>
      </w:pPr>
      <w:r>
        <w:rPr>
          <w:rFonts w:ascii="宋体" w:hAnsi="宋体" w:cs="宋体" w:eastAsia="宋体"/>
          <w:spacing w:val="-3"/>
        </w:rPr>
        <w:t>（1）委估资产持续经营并能产生经营收益，且经营收益可以用货币计</w:t>
      </w:r>
      <w:r>
        <w:rPr>
          <w:rFonts w:ascii="宋体" w:hAnsi="宋体" w:cs="宋体" w:eastAsia="宋体"/>
          <w:w w:val="100"/>
        </w:rPr>
        <w:t> </w:t>
      </w:r>
      <w:r>
        <w:rPr>
          <w:rFonts w:ascii="宋体" w:hAnsi="宋体" w:cs="宋体" w:eastAsia="宋体"/>
        </w:rPr>
        <w:t>量；</w:t>
      </w:r>
    </w:p>
    <w:p>
      <w:pPr>
        <w:pStyle w:val="BodyText"/>
        <w:spacing w:line="408" w:lineRule="auto"/>
        <w:ind w:left="677" w:right="2069"/>
        <w:jc w:val="left"/>
        <w:rPr>
          <w:rFonts w:ascii="宋体" w:hAnsi="宋体" w:cs="宋体" w:eastAsia="宋体"/>
        </w:rPr>
      </w:pPr>
      <w:r>
        <w:rPr>
          <w:rFonts w:ascii="宋体" w:hAnsi="宋体" w:cs="宋体" w:eastAsia="宋体"/>
          <w:spacing w:val="-2"/>
        </w:rPr>
        <w:t>（2）委估资产在未来经营中面临的风险可以计量。</w:t>
      </w:r>
      <w:r>
        <w:rPr>
          <w:rFonts w:ascii="宋体" w:hAnsi="宋体" w:cs="宋体" w:eastAsia="宋体"/>
          <w:spacing w:val="-107"/>
        </w:rPr>
        <w:t> </w:t>
      </w:r>
      <w:r>
        <w:rPr>
          <w:rFonts w:ascii="宋体" w:hAnsi="宋体" w:cs="宋体" w:eastAsia="宋体"/>
          <w:spacing w:val="-107"/>
        </w:rPr>
      </w:r>
      <w:r>
        <w:rPr>
          <w:rFonts w:ascii="宋体" w:hAnsi="宋体" w:cs="宋体" w:eastAsia="宋体"/>
        </w:rPr>
        <w:t>3、收益法评估思路</w:t>
      </w:r>
      <w:r>
        <w:rPr>
          <w:rFonts w:ascii="宋体" w:hAnsi="宋体" w:cs="宋体" w:eastAsia="宋体"/>
          <w:w w:val="100"/>
        </w:rPr>
        <w:t> </w:t>
      </w:r>
      <w:r>
        <w:rPr>
          <w:rFonts w:ascii="宋体" w:hAnsi="宋体" w:cs="宋体" w:eastAsia="宋体"/>
        </w:rPr>
        <w:t>本次评估按照如下基本思路进行：</w:t>
      </w:r>
    </w:p>
    <w:p>
      <w:pPr>
        <w:pStyle w:val="BodyText"/>
        <w:spacing w:line="408" w:lineRule="auto"/>
        <w:ind w:right="113" w:firstLine="559"/>
        <w:jc w:val="both"/>
        <w:rPr>
          <w:rFonts w:ascii="宋体" w:hAnsi="宋体" w:cs="宋体" w:eastAsia="宋体"/>
        </w:rPr>
      </w:pPr>
      <w:r>
        <w:rPr>
          <w:rFonts w:ascii="宋体" w:hAnsi="宋体" w:cs="宋体" w:eastAsia="宋体"/>
          <w:spacing w:val="-3"/>
        </w:rPr>
        <w:t>（1）牙鲆鱼养殖示范开发项目中涉及的土地使用权（租金）收益现状</w:t>
      </w:r>
      <w:r>
        <w:rPr>
          <w:rFonts w:ascii="宋体" w:hAnsi="宋体" w:cs="宋体" w:eastAsia="宋体"/>
          <w:w w:val="100"/>
        </w:rPr>
        <w:t> </w:t>
      </w:r>
      <w:r>
        <w:rPr>
          <w:rFonts w:ascii="宋体" w:hAnsi="宋体" w:cs="宋体" w:eastAsia="宋体"/>
          <w:spacing w:val="2"/>
        </w:rPr>
        <w:t>以及市场、行业、竞争等环境因素和经营、管理、成本等内部条件进行分</w:t>
      </w:r>
      <w:r>
        <w:rPr>
          <w:rFonts w:ascii="宋体" w:hAnsi="宋体" w:cs="宋体" w:eastAsia="宋体"/>
          <w:spacing w:val="-101"/>
        </w:rPr>
        <w:t> </w:t>
      </w:r>
      <w:r>
        <w:rPr>
          <w:rFonts w:ascii="宋体" w:hAnsi="宋体" w:cs="宋体" w:eastAsia="宋体"/>
          <w:spacing w:val="-101"/>
        </w:rPr>
      </w:r>
      <w:r>
        <w:rPr>
          <w:rFonts w:ascii="宋体" w:hAnsi="宋体" w:cs="宋体" w:eastAsia="宋体"/>
        </w:rPr>
        <w:t>析；</w:t>
      </w:r>
    </w:p>
    <w:p>
      <w:pPr>
        <w:pStyle w:val="BodyText"/>
        <w:spacing w:line="408" w:lineRule="auto"/>
        <w:ind w:right="113" w:firstLine="559"/>
        <w:jc w:val="both"/>
        <w:rPr>
          <w:rFonts w:ascii="宋体" w:hAnsi="宋体" w:cs="宋体" w:eastAsia="宋体"/>
        </w:rPr>
      </w:pPr>
      <w:r>
        <w:rPr>
          <w:rFonts w:ascii="宋体" w:hAnsi="宋体" w:cs="宋体" w:eastAsia="宋体"/>
          <w:spacing w:val="-3"/>
        </w:rPr>
        <w:t>（2）牙鲆鱼养殖示范开发项目中涉及的土地使用权（租金）收益进行</w:t>
      </w:r>
      <w:r>
        <w:rPr>
          <w:rFonts w:ascii="宋体" w:hAnsi="宋体" w:cs="宋体" w:eastAsia="宋体"/>
          <w:w w:val="100"/>
        </w:rPr>
        <w:t> </w:t>
      </w:r>
      <w:r>
        <w:rPr>
          <w:rFonts w:ascii="宋体" w:hAnsi="宋体" w:cs="宋体" w:eastAsia="宋体"/>
        </w:rPr>
        <w:t>合理的预测；</w:t>
      </w:r>
    </w:p>
    <w:p>
      <w:pPr>
        <w:pStyle w:val="BodyText"/>
        <w:spacing w:line="408" w:lineRule="auto"/>
        <w:ind w:right="115" w:firstLine="559"/>
        <w:jc w:val="both"/>
        <w:rPr>
          <w:rFonts w:ascii="宋体" w:hAnsi="宋体" w:cs="宋体" w:eastAsia="宋体"/>
        </w:rPr>
      </w:pPr>
      <w:r>
        <w:rPr>
          <w:rFonts w:ascii="宋体" w:hAnsi="宋体" w:cs="宋体" w:eastAsia="宋体"/>
          <w:spacing w:val="-3"/>
        </w:rPr>
        <w:t>（3）牙鲆鱼养殖示范开发项目中涉及的土地使用权（租金）收益趋势</w:t>
      </w:r>
      <w:r>
        <w:rPr>
          <w:rFonts w:ascii="宋体" w:hAnsi="宋体" w:cs="宋体" w:eastAsia="宋体"/>
          <w:w w:val="100"/>
        </w:rPr>
        <w:t> </w:t>
      </w:r>
      <w:r>
        <w:rPr>
          <w:rFonts w:ascii="宋体" w:hAnsi="宋体" w:cs="宋体" w:eastAsia="宋体"/>
        </w:rPr>
        <w:t>进行判断和估算；</w:t>
      </w:r>
    </w:p>
    <w:p>
      <w:pPr>
        <w:pStyle w:val="BodyText"/>
        <w:spacing w:line="240" w:lineRule="auto"/>
        <w:ind w:left="677" w:right="0"/>
        <w:jc w:val="left"/>
        <w:rPr>
          <w:rFonts w:ascii="宋体" w:hAnsi="宋体" w:cs="宋体" w:eastAsia="宋体"/>
        </w:rPr>
      </w:pPr>
      <w:r>
        <w:rPr>
          <w:rFonts w:ascii="宋体" w:hAnsi="宋体" w:cs="宋体" w:eastAsia="宋体"/>
        </w:rPr>
        <w:t>（4）选择适合的评估模型；</w:t>
      </w:r>
    </w:p>
    <w:p>
      <w:pPr>
        <w:spacing w:line="240" w:lineRule="auto" w:before="9"/>
        <w:rPr>
          <w:rFonts w:ascii="宋体" w:hAnsi="宋体" w:cs="宋体" w:eastAsia="宋体"/>
          <w:sz w:val="19"/>
          <w:szCs w:val="19"/>
        </w:rPr>
      </w:pPr>
    </w:p>
    <w:p>
      <w:pPr>
        <w:pStyle w:val="BodyText"/>
        <w:spacing w:line="408" w:lineRule="auto" w:before="0"/>
        <w:ind w:right="115" w:firstLine="559"/>
        <w:jc w:val="both"/>
        <w:rPr>
          <w:rFonts w:ascii="宋体" w:hAnsi="宋体" w:cs="宋体" w:eastAsia="宋体"/>
        </w:rPr>
      </w:pPr>
      <w:r>
        <w:rPr>
          <w:rFonts w:ascii="宋体" w:hAnsi="宋体" w:cs="宋体" w:eastAsia="宋体"/>
          <w:spacing w:val="-3"/>
        </w:rPr>
        <w:t>（5）根据评估模型和确定的相关参数估算牙鲆鱼养殖示范开发项目中</w:t>
      </w:r>
      <w:r>
        <w:rPr>
          <w:rFonts w:ascii="宋体" w:hAnsi="宋体" w:cs="宋体" w:eastAsia="宋体"/>
          <w:w w:val="100"/>
        </w:rPr>
        <w:t> </w:t>
      </w:r>
      <w:r>
        <w:rPr>
          <w:rFonts w:ascii="宋体" w:hAnsi="宋体" w:cs="宋体" w:eastAsia="宋体"/>
        </w:rPr>
        <w:t>涉及的土地使用权（租金）的市场价值。</w:t>
      </w:r>
    </w:p>
    <w:p>
      <w:pPr>
        <w:pStyle w:val="BodyText"/>
        <w:spacing w:line="240" w:lineRule="auto"/>
        <w:ind w:left="677" w:right="0"/>
        <w:jc w:val="left"/>
        <w:rPr>
          <w:rFonts w:ascii="宋体" w:hAnsi="宋体" w:cs="宋体" w:eastAsia="宋体"/>
        </w:rPr>
      </w:pPr>
      <w:r>
        <w:rPr>
          <w:rFonts w:ascii="宋体" w:hAnsi="宋体" w:cs="宋体" w:eastAsia="宋体"/>
        </w:rPr>
        <w:t>4、收益法测算过程</w:t>
      </w:r>
    </w:p>
    <w:p>
      <w:pPr>
        <w:spacing w:line="240" w:lineRule="auto" w:before="9"/>
        <w:rPr>
          <w:rFonts w:ascii="宋体" w:hAnsi="宋体" w:cs="宋体" w:eastAsia="宋体"/>
          <w:sz w:val="19"/>
          <w:szCs w:val="19"/>
        </w:rPr>
      </w:pPr>
    </w:p>
    <w:p>
      <w:pPr>
        <w:pStyle w:val="BodyText"/>
        <w:spacing w:line="240" w:lineRule="auto" w:before="0"/>
        <w:ind w:left="677" w:right="0"/>
        <w:jc w:val="left"/>
        <w:rPr>
          <w:rFonts w:ascii="宋体" w:hAnsi="宋体" w:cs="宋体" w:eastAsia="宋体"/>
        </w:rPr>
      </w:pPr>
      <w:r>
        <w:rPr>
          <w:rFonts w:ascii="宋体" w:hAnsi="宋体" w:cs="宋体" w:eastAsia="宋体"/>
        </w:rPr>
        <w:t>（1）收益法测算公式</w:t>
      </w:r>
    </w:p>
    <w:p>
      <w:pPr>
        <w:spacing w:line="240" w:lineRule="auto" w:before="9"/>
        <w:rPr>
          <w:rFonts w:ascii="宋体" w:hAnsi="宋体" w:cs="宋体" w:eastAsia="宋体"/>
          <w:sz w:val="19"/>
          <w:szCs w:val="19"/>
        </w:rPr>
      </w:pPr>
    </w:p>
    <w:p>
      <w:pPr>
        <w:pStyle w:val="BodyText"/>
        <w:spacing w:line="408" w:lineRule="auto" w:before="0"/>
        <w:ind w:left="677" w:right="3778"/>
        <w:jc w:val="left"/>
        <w:rPr>
          <w:rFonts w:ascii="宋体" w:hAnsi="宋体" w:cs="宋体" w:eastAsia="宋体"/>
        </w:rPr>
      </w:pPr>
      <w:r>
        <w:rPr>
          <w:rFonts w:ascii="宋体" w:hAnsi="宋体" w:cs="宋体" w:eastAsia="宋体"/>
          <w:spacing w:val="-1"/>
        </w:rPr>
        <w:t>p=V*(r-g)/(1-(1+g)^n/(1+r)^n)</w:t>
      </w:r>
      <w:r>
        <w:rPr>
          <w:rFonts w:ascii="宋体" w:hAnsi="宋体" w:cs="宋体" w:eastAsia="宋体"/>
          <w:spacing w:val="-123"/>
        </w:rPr>
        <w:t> </w:t>
      </w:r>
      <w:r>
        <w:rPr>
          <w:rFonts w:ascii="宋体" w:hAnsi="宋体" w:cs="宋体" w:eastAsia="宋体"/>
          <w:spacing w:val="-123"/>
        </w:rPr>
      </w:r>
      <w:r>
        <w:rPr>
          <w:rFonts w:ascii="宋体" w:hAnsi="宋体" w:cs="宋体" w:eastAsia="宋体"/>
        </w:rPr>
        <w:t>其中：</w:t>
      </w:r>
    </w:p>
    <w:p>
      <w:pPr>
        <w:spacing w:after="0" w:line="408" w:lineRule="auto"/>
        <w:jc w:val="left"/>
        <w:rPr>
          <w:rFonts w:ascii="宋体" w:hAnsi="宋体" w:cs="宋体" w:eastAsia="宋体"/>
        </w:rPr>
        <w:sectPr>
          <w:pgSz w:w="11910" w:h="16840"/>
          <w:pgMar w:header="878" w:footer="1196" w:top="1100" w:bottom="1380" w:left="1300" w:right="1300"/>
        </w:sectPr>
      </w:pPr>
    </w:p>
    <w:p>
      <w:pPr>
        <w:spacing w:line="240" w:lineRule="auto" w:before="0"/>
        <w:rPr>
          <w:rFonts w:ascii="宋体" w:hAnsi="宋体" w:cs="宋体" w:eastAsia="宋体"/>
          <w:sz w:val="20"/>
          <w:szCs w:val="20"/>
        </w:rPr>
      </w:pPr>
    </w:p>
    <w:p>
      <w:pPr>
        <w:pStyle w:val="BodyText"/>
        <w:spacing w:line="408" w:lineRule="auto" w:before="146"/>
        <w:ind w:left="677" w:right="5167"/>
        <w:jc w:val="left"/>
        <w:rPr>
          <w:rFonts w:ascii="宋体" w:hAnsi="宋体" w:cs="宋体" w:eastAsia="宋体"/>
        </w:rPr>
      </w:pPr>
      <w:r>
        <w:rPr>
          <w:rFonts w:ascii="宋体" w:hAnsi="宋体" w:cs="宋体" w:eastAsia="宋体"/>
        </w:rPr>
        <w:t>P</w:t>
      </w:r>
      <w:r>
        <w:rPr>
          <w:rFonts w:ascii="宋体" w:hAnsi="宋体" w:cs="宋体" w:eastAsia="宋体"/>
          <w:spacing w:val="-80"/>
        </w:rPr>
        <w:t> </w:t>
      </w:r>
      <w:r>
        <w:rPr>
          <w:rFonts w:ascii="宋体" w:hAnsi="宋体" w:cs="宋体" w:eastAsia="宋体"/>
        </w:rPr>
        <w:t>：年租金市场价值</w:t>
      </w:r>
      <w:r>
        <w:rPr>
          <w:rFonts w:ascii="宋体" w:hAnsi="宋体" w:cs="宋体" w:eastAsia="宋体"/>
          <w:w w:val="100"/>
        </w:rPr>
        <w:t> </w:t>
      </w:r>
      <w:r>
        <w:rPr>
          <w:rFonts w:ascii="宋体" w:hAnsi="宋体" w:cs="宋体" w:eastAsia="宋体"/>
        </w:rPr>
        <w:t>V：目前市场价格</w:t>
      </w:r>
      <w:r>
        <w:rPr>
          <w:rFonts w:ascii="宋体" w:hAnsi="宋体" w:cs="宋体" w:eastAsia="宋体"/>
          <w:w w:val="100"/>
        </w:rPr>
        <w:t> </w:t>
      </w:r>
      <w:r>
        <w:rPr>
          <w:rFonts w:ascii="宋体" w:hAnsi="宋体" w:cs="宋体" w:eastAsia="宋体"/>
        </w:rPr>
        <w:t>r：投资收益率</w:t>
      </w:r>
      <w:r>
        <w:rPr>
          <w:rFonts w:ascii="宋体" w:hAnsi="宋体" w:cs="宋体" w:eastAsia="宋体"/>
          <w:w w:val="100"/>
        </w:rPr>
        <w:t> </w:t>
      </w:r>
      <w:r>
        <w:rPr>
          <w:rFonts w:ascii="宋体" w:hAnsi="宋体" w:cs="宋体" w:eastAsia="宋体"/>
        </w:rPr>
        <w:t>g：租金每年增长率</w:t>
      </w:r>
      <w:r>
        <w:rPr>
          <w:rFonts w:ascii="宋体" w:hAnsi="宋体" w:cs="宋体" w:eastAsia="宋体"/>
          <w:w w:val="100"/>
        </w:rPr>
        <w:t> </w:t>
      </w:r>
      <w:r>
        <w:rPr>
          <w:rFonts w:ascii="宋体" w:hAnsi="宋体" w:cs="宋体" w:eastAsia="宋体"/>
        </w:rPr>
        <w:t>n：剩余收益期</w:t>
      </w:r>
    </w:p>
    <w:p>
      <w:pPr>
        <w:pStyle w:val="BodyText"/>
        <w:spacing w:line="240" w:lineRule="auto"/>
        <w:ind w:left="677" w:right="114"/>
        <w:jc w:val="left"/>
        <w:rPr>
          <w:rFonts w:ascii="宋体" w:hAnsi="宋体" w:cs="宋体" w:eastAsia="宋体"/>
        </w:rPr>
      </w:pPr>
      <w:r>
        <w:rPr>
          <w:rFonts w:ascii="宋体" w:hAnsi="宋体" w:cs="宋体" w:eastAsia="宋体"/>
        </w:rPr>
        <w:t>（2）目前市场价格、收益期的确定</w:t>
      </w:r>
    </w:p>
    <w:p>
      <w:pPr>
        <w:spacing w:line="240" w:lineRule="auto" w:before="9"/>
        <w:rPr>
          <w:rFonts w:ascii="宋体" w:hAnsi="宋体" w:cs="宋体" w:eastAsia="宋体"/>
          <w:sz w:val="19"/>
          <w:szCs w:val="19"/>
        </w:rPr>
      </w:pPr>
    </w:p>
    <w:p>
      <w:pPr>
        <w:pStyle w:val="BodyText"/>
        <w:spacing w:line="408" w:lineRule="auto" w:before="0"/>
        <w:ind w:right="114" w:firstLine="559"/>
        <w:jc w:val="left"/>
        <w:rPr>
          <w:rFonts w:ascii="宋体" w:hAnsi="宋体" w:cs="宋体" w:eastAsia="宋体"/>
        </w:rPr>
      </w:pPr>
      <w:r>
        <w:rPr>
          <w:rFonts w:ascii="宋体" w:hAnsi="宋体" w:cs="宋体" w:eastAsia="宋体"/>
          <w:spacing w:val="2"/>
        </w:rPr>
        <w:t>《江苏省连云港市人民政府市政府关于印发连云港市征地补偿暂行办</w:t>
      </w:r>
      <w:r>
        <w:rPr>
          <w:rFonts w:ascii="宋体" w:hAnsi="宋体" w:cs="宋体" w:eastAsia="宋体"/>
          <w:w w:val="100"/>
        </w:rPr>
        <w:t> </w:t>
      </w:r>
      <w:r>
        <w:rPr>
          <w:rFonts w:ascii="宋体" w:hAnsi="宋体" w:cs="宋体" w:eastAsia="宋体"/>
          <w:spacing w:val="-3"/>
        </w:rPr>
        <w:t>法的通知》连政规发[2011]10</w:t>
      </w:r>
      <w:r>
        <w:rPr>
          <w:rFonts w:ascii="宋体" w:hAnsi="宋体" w:cs="宋体" w:eastAsia="宋体"/>
          <w:spacing w:val="-63"/>
        </w:rPr>
        <w:t> </w:t>
      </w:r>
      <w:r>
        <w:rPr>
          <w:rFonts w:ascii="宋体" w:hAnsi="宋体" w:cs="宋体" w:eastAsia="宋体"/>
          <w:spacing w:val="-5"/>
        </w:rPr>
        <w:t>号，第二章第</w:t>
      </w:r>
      <w:r>
        <w:rPr>
          <w:rFonts w:ascii="宋体" w:hAnsi="宋体" w:cs="宋体" w:eastAsia="宋体"/>
          <w:spacing w:val="-62"/>
        </w:rPr>
        <w:t> </w:t>
      </w:r>
      <w:r>
        <w:rPr>
          <w:rFonts w:ascii="宋体" w:hAnsi="宋体" w:cs="宋体" w:eastAsia="宋体"/>
        </w:rPr>
        <w:t>17</w:t>
      </w:r>
      <w:r>
        <w:rPr>
          <w:rFonts w:ascii="宋体" w:hAnsi="宋体" w:cs="宋体" w:eastAsia="宋体"/>
          <w:spacing w:val="-63"/>
        </w:rPr>
        <w:t> </w:t>
      </w:r>
      <w:r>
        <w:rPr>
          <w:rFonts w:ascii="宋体" w:hAnsi="宋体" w:cs="宋体" w:eastAsia="宋体"/>
          <w:spacing w:val="-7"/>
        </w:rPr>
        <w:t>条规定，（一）土地补偿费</w:t>
      </w:r>
      <w:r>
        <w:rPr>
          <w:rFonts w:ascii="宋体" w:hAnsi="宋体" w:cs="宋体" w:eastAsia="宋体"/>
          <w:spacing w:val="-117"/>
        </w:rPr>
        <w:t> </w:t>
      </w:r>
      <w:r>
        <w:rPr>
          <w:rFonts w:ascii="宋体" w:hAnsi="宋体" w:cs="宋体" w:eastAsia="宋体"/>
          <w:spacing w:val="-117"/>
        </w:rPr>
      </w:r>
      <w:r>
        <w:rPr>
          <w:rFonts w:ascii="宋体" w:hAnsi="宋体" w:cs="宋体" w:eastAsia="宋体"/>
          <w:spacing w:val="-3"/>
        </w:rPr>
        <w:t>征收农用地的土地补偿费标准为：市区每亩</w:t>
      </w:r>
      <w:r>
        <w:rPr>
          <w:rFonts w:ascii="宋体" w:hAnsi="宋体" w:cs="宋体" w:eastAsia="宋体"/>
          <w:spacing w:val="-64"/>
        </w:rPr>
        <w:t> </w:t>
      </w:r>
      <w:r>
        <w:rPr>
          <w:rFonts w:ascii="宋体" w:hAnsi="宋体" w:cs="宋体" w:eastAsia="宋体"/>
        </w:rPr>
        <w:t>19000</w:t>
      </w:r>
      <w:r>
        <w:rPr>
          <w:rFonts w:ascii="宋体" w:hAnsi="宋体" w:cs="宋体" w:eastAsia="宋体"/>
          <w:spacing w:val="-63"/>
        </w:rPr>
        <w:t> </w:t>
      </w:r>
      <w:r>
        <w:rPr>
          <w:rFonts w:ascii="宋体" w:hAnsi="宋体" w:cs="宋体" w:eastAsia="宋体"/>
          <w:spacing w:val="-4"/>
        </w:rPr>
        <w:t>元，各县每亩</w:t>
      </w:r>
      <w:r>
        <w:rPr>
          <w:rFonts w:ascii="宋体" w:hAnsi="宋体" w:cs="宋体" w:eastAsia="宋体"/>
          <w:spacing w:val="-62"/>
        </w:rPr>
        <w:t> </w:t>
      </w:r>
      <w:r>
        <w:rPr>
          <w:rFonts w:ascii="宋体" w:hAnsi="宋体" w:cs="宋体" w:eastAsia="宋体"/>
        </w:rPr>
        <w:t>17000</w:t>
      </w:r>
      <w:r>
        <w:rPr>
          <w:rFonts w:ascii="宋体" w:hAnsi="宋体" w:cs="宋体" w:eastAsia="宋体"/>
          <w:spacing w:val="-63"/>
        </w:rPr>
        <w:t> </w:t>
      </w:r>
      <w:r>
        <w:rPr>
          <w:rFonts w:ascii="宋体" w:hAnsi="宋体" w:cs="宋体" w:eastAsia="宋体"/>
        </w:rPr>
        <w:t>元。</w:t>
      </w:r>
      <w:r>
        <w:rPr>
          <w:rFonts w:ascii="宋体" w:hAnsi="宋体" w:cs="宋体" w:eastAsia="宋体"/>
          <w:spacing w:val="-137"/>
        </w:rPr>
        <w:t> </w:t>
      </w:r>
      <w:r>
        <w:rPr>
          <w:rFonts w:ascii="宋体" w:hAnsi="宋体" w:cs="宋体" w:eastAsia="宋体"/>
          <w:spacing w:val="-137"/>
        </w:rPr>
      </w:r>
      <w:r>
        <w:rPr>
          <w:rFonts w:ascii="宋体" w:hAnsi="宋体" w:cs="宋体" w:eastAsia="宋体"/>
        </w:rPr>
        <w:t>征收建设用地的土地补偿费，按照征收农用地土地补偿费计算。</w:t>
      </w:r>
    </w:p>
    <w:p>
      <w:pPr>
        <w:pStyle w:val="BodyText"/>
        <w:spacing w:line="240" w:lineRule="auto"/>
        <w:ind w:left="677" w:right="114"/>
        <w:jc w:val="left"/>
        <w:rPr>
          <w:rFonts w:ascii="宋体" w:hAnsi="宋体" w:cs="宋体" w:eastAsia="宋体"/>
        </w:rPr>
      </w:pPr>
      <w:r>
        <w:rPr>
          <w:rFonts w:ascii="宋体" w:hAnsi="宋体" w:cs="宋体" w:eastAsia="宋体"/>
          <w:spacing w:val="-3"/>
        </w:rPr>
        <w:t>本次评估应委托方要求：为保证国有资产权益，要考虑估价对象 </w:t>
      </w:r>
      <w:r>
        <w:rPr>
          <w:rFonts w:ascii="宋体" w:hAnsi="宋体" w:cs="宋体" w:eastAsia="宋体"/>
        </w:rPr>
        <w:t>10</w:t>
      </w:r>
      <w:r>
        <w:rPr>
          <w:rFonts w:ascii="宋体" w:hAnsi="宋体" w:cs="宋体" w:eastAsia="宋体"/>
          <w:spacing w:val="-100"/>
        </w:rPr>
        <w:t> </w:t>
      </w:r>
      <w:r>
        <w:rPr>
          <w:rFonts w:ascii="宋体" w:hAnsi="宋体" w:cs="宋体" w:eastAsia="宋体"/>
        </w:rPr>
        <w:t>亩</w:t>
      </w:r>
    </w:p>
    <w:p>
      <w:pPr>
        <w:spacing w:line="240" w:lineRule="auto" w:before="9"/>
        <w:rPr>
          <w:rFonts w:ascii="宋体" w:hAnsi="宋体" w:cs="宋体" w:eastAsia="宋体"/>
          <w:sz w:val="19"/>
          <w:szCs w:val="19"/>
        </w:rPr>
      </w:pPr>
    </w:p>
    <w:p>
      <w:pPr>
        <w:pStyle w:val="BodyText"/>
        <w:spacing w:line="240" w:lineRule="auto" w:before="0"/>
        <w:ind w:right="114"/>
        <w:jc w:val="left"/>
        <w:rPr>
          <w:rFonts w:ascii="宋体" w:hAnsi="宋体" w:cs="宋体" w:eastAsia="宋体"/>
        </w:rPr>
      </w:pPr>
      <w:r>
        <w:rPr>
          <w:rFonts w:ascii="宋体" w:hAnsi="宋体" w:cs="宋体" w:eastAsia="宋体"/>
          <w:spacing w:val="-3"/>
        </w:rPr>
        <w:t>土地价值。故设定估价对象 </w:t>
      </w:r>
      <w:r>
        <w:rPr>
          <w:rFonts w:ascii="宋体" w:hAnsi="宋体" w:cs="宋体" w:eastAsia="宋体"/>
        </w:rPr>
        <w:t>10</w:t>
      </w:r>
      <w:r>
        <w:rPr>
          <w:rFonts w:ascii="宋体" w:hAnsi="宋体" w:cs="宋体" w:eastAsia="宋体"/>
          <w:spacing w:val="-93"/>
        </w:rPr>
        <w:t> </w:t>
      </w:r>
      <w:r>
        <w:rPr>
          <w:rFonts w:ascii="宋体" w:hAnsi="宋体" w:cs="宋体" w:eastAsia="宋体"/>
          <w:spacing w:val="-3"/>
        </w:rPr>
        <w:t>亩土地视同类型用地，剩余租赁使用年限为</w:t>
      </w:r>
    </w:p>
    <w:p>
      <w:pPr>
        <w:spacing w:line="240" w:lineRule="auto" w:before="9"/>
        <w:rPr>
          <w:rFonts w:ascii="宋体" w:hAnsi="宋体" w:cs="宋体" w:eastAsia="宋体"/>
          <w:sz w:val="19"/>
          <w:szCs w:val="19"/>
        </w:rPr>
      </w:pPr>
    </w:p>
    <w:p>
      <w:pPr>
        <w:pStyle w:val="BodyText"/>
        <w:spacing w:line="240" w:lineRule="auto" w:before="0"/>
        <w:ind w:right="114"/>
        <w:jc w:val="left"/>
        <w:rPr>
          <w:rFonts w:ascii="宋体" w:hAnsi="宋体" w:cs="宋体" w:eastAsia="宋体"/>
        </w:rPr>
      </w:pPr>
      <w:r>
        <w:rPr>
          <w:rFonts w:ascii="宋体" w:hAnsi="宋体" w:cs="宋体" w:eastAsia="宋体"/>
        </w:rPr>
        <w:t>20</w:t>
      </w:r>
      <w:r>
        <w:rPr>
          <w:rFonts w:ascii="宋体" w:hAnsi="宋体" w:cs="宋体" w:eastAsia="宋体"/>
          <w:spacing w:val="-71"/>
        </w:rPr>
        <w:t> </w:t>
      </w:r>
      <w:r>
        <w:rPr>
          <w:rFonts w:ascii="宋体" w:hAnsi="宋体" w:cs="宋体" w:eastAsia="宋体"/>
        </w:rPr>
        <w:t>年。</w:t>
      </w:r>
    </w:p>
    <w:p>
      <w:pPr>
        <w:pStyle w:val="BodyText"/>
        <w:spacing w:line="240" w:lineRule="auto" w:before="125"/>
        <w:ind w:left="677" w:right="114"/>
        <w:jc w:val="left"/>
      </w:pPr>
      <w:r>
        <w:rPr/>
        <w:t>Vm=Vn*(1-1/(1+r)^m)/(1-1/(1+r)^n)</w:t>
      </w:r>
    </w:p>
    <w:p>
      <w:pPr>
        <w:spacing w:line="240" w:lineRule="auto" w:before="7"/>
        <w:rPr>
          <w:rFonts w:ascii="仿宋" w:hAnsi="仿宋" w:cs="仿宋" w:eastAsia="仿宋"/>
          <w:sz w:val="23"/>
          <w:szCs w:val="23"/>
        </w:rPr>
      </w:pPr>
    </w:p>
    <w:p>
      <w:pPr>
        <w:pStyle w:val="BodyText"/>
        <w:spacing w:line="240" w:lineRule="auto" w:before="0"/>
        <w:ind w:left="970" w:right="0"/>
        <w:jc w:val="both"/>
        <w:rPr>
          <w:rFonts w:ascii="宋体" w:hAnsi="宋体" w:cs="宋体" w:eastAsia="宋体"/>
        </w:rPr>
      </w:pPr>
      <w:r>
        <w:rPr>
          <w:rFonts w:ascii="宋体" w:hAnsi="宋体" w:cs="宋体" w:eastAsia="宋体"/>
        </w:rPr>
        <w:t>其中：</w:t>
      </w:r>
    </w:p>
    <w:p>
      <w:pPr>
        <w:spacing w:line="240" w:lineRule="auto" w:before="9"/>
        <w:rPr>
          <w:rFonts w:ascii="宋体" w:hAnsi="宋体" w:cs="宋体" w:eastAsia="宋体"/>
          <w:sz w:val="19"/>
          <w:szCs w:val="19"/>
        </w:rPr>
      </w:pPr>
    </w:p>
    <w:p>
      <w:pPr>
        <w:pStyle w:val="BodyText"/>
        <w:spacing w:line="408" w:lineRule="auto" w:before="0"/>
        <w:ind w:left="970" w:right="5259"/>
        <w:jc w:val="both"/>
        <w:rPr>
          <w:rFonts w:ascii="宋体" w:hAnsi="宋体" w:cs="宋体" w:eastAsia="宋体"/>
        </w:rPr>
      </w:pPr>
      <w:r>
        <w:rPr>
          <w:rFonts w:ascii="宋体" w:hAnsi="宋体" w:cs="宋体" w:eastAsia="宋体"/>
        </w:rPr>
        <w:t>Vm</w:t>
      </w:r>
      <w:r>
        <w:rPr>
          <w:rFonts w:ascii="宋体" w:hAnsi="宋体" w:cs="宋体" w:eastAsia="宋体"/>
          <w:spacing w:val="-80"/>
        </w:rPr>
        <w:t> </w:t>
      </w:r>
      <w:r>
        <w:rPr>
          <w:rFonts w:ascii="宋体" w:hAnsi="宋体" w:cs="宋体" w:eastAsia="宋体"/>
        </w:rPr>
        <w:t>：20</w:t>
      </w:r>
      <w:r>
        <w:rPr>
          <w:rFonts w:ascii="宋体" w:hAnsi="宋体" w:cs="宋体" w:eastAsia="宋体"/>
          <w:spacing w:val="-73"/>
        </w:rPr>
        <w:t> </w:t>
      </w:r>
      <w:r>
        <w:rPr>
          <w:rFonts w:ascii="宋体" w:hAnsi="宋体" w:cs="宋体" w:eastAsia="宋体"/>
        </w:rPr>
        <w:t>年期土地目前价值</w:t>
      </w:r>
      <w:r>
        <w:rPr>
          <w:rFonts w:ascii="宋体" w:hAnsi="宋体" w:cs="宋体" w:eastAsia="宋体"/>
          <w:w w:val="100"/>
        </w:rPr>
        <w:t> </w:t>
      </w:r>
      <w:r>
        <w:rPr>
          <w:rFonts w:ascii="宋体" w:hAnsi="宋体" w:cs="宋体" w:eastAsia="宋体"/>
        </w:rPr>
        <w:t>Vn</w:t>
      </w:r>
      <w:r>
        <w:rPr>
          <w:rFonts w:ascii="宋体" w:hAnsi="宋体" w:cs="宋体" w:eastAsia="宋体"/>
          <w:spacing w:val="-80"/>
        </w:rPr>
        <w:t> </w:t>
      </w:r>
      <w:r>
        <w:rPr>
          <w:rFonts w:ascii="宋体" w:hAnsi="宋体" w:cs="宋体" w:eastAsia="宋体"/>
        </w:rPr>
        <w:t>：50</w:t>
      </w:r>
      <w:r>
        <w:rPr>
          <w:rFonts w:ascii="宋体" w:hAnsi="宋体" w:cs="宋体" w:eastAsia="宋体"/>
          <w:spacing w:val="-73"/>
        </w:rPr>
        <w:t> </w:t>
      </w:r>
      <w:r>
        <w:rPr>
          <w:rFonts w:ascii="宋体" w:hAnsi="宋体" w:cs="宋体" w:eastAsia="宋体"/>
        </w:rPr>
        <w:t>年期土地目前价值</w:t>
      </w:r>
      <w:r>
        <w:rPr>
          <w:rFonts w:ascii="宋体" w:hAnsi="宋体" w:cs="宋体" w:eastAsia="宋体"/>
          <w:w w:val="100"/>
        </w:rPr>
        <w:t> </w:t>
      </w:r>
      <w:r>
        <w:rPr>
          <w:rFonts w:ascii="宋体" w:hAnsi="宋体" w:cs="宋体" w:eastAsia="宋体"/>
        </w:rPr>
        <w:t>r：收益率</w:t>
      </w:r>
    </w:p>
    <w:p>
      <w:pPr>
        <w:pStyle w:val="BodyText"/>
        <w:spacing w:line="408" w:lineRule="auto"/>
        <w:ind w:left="677" w:right="797" w:firstLine="292"/>
        <w:jc w:val="left"/>
        <w:rPr>
          <w:rFonts w:ascii="宋体" w:hAnsi="宋体" w:cs="宋体" w:eastAsia="宋体"/>
        </w:rPr>
      </w:pPr>
      <w:r>
        <w:rPr>
          <w:rFonts w:ascii="宋体" w:hAnsi="宋体" w:cs="宋体" w:eastAsia="宋体"/>
        </w:rPr>
        <w:t>(1-1/(1+r)^m)/(1-1/(1+r)^n)：修正系数</w:t>
      </w:r>
      <w:r>
        <w:rPr>
          <w:rFonts w:ascii="宋体" w:hAnsi="宋体" w:cs="宋体" w:eastAsia="宋体"/>
          <w:w w:val="100"/>
        </w:rPr>
        <w:t> </w:t>
      </w:r>
      <w:r>
        <w:rPr>
          <w:rFonts w:ascii="宋体" w:hAnsi="宋体" w:cs="宋体" w:eastAsia="宋体"/>
        </w:rPr>
        <w:t>经过年期修正，得到</w:t>
      </w:r>
      <w:r>
        <w:rPr>
          <w:rFonts w:ascii="宋体" w:hAnsi="宋体" w:cs="宋体" w:eastAsia="宋体"/>
          <w:spacing w:val="-75"/>
        </w:rPr>
        <w:t> </w:t>
      </w:r>
      <w:r>
        <w:rPr>
          <w:rFonts w:ascii="宋体" w:hAnsi="宋体" w:cs="宋体" w:eastAsia="宋体"/>
        </w:rPr>
        <w:t>20</w:t>
      </w:r>
      <w:r>
        <w:rPr>
          <w:rFonts w:ascii="宋体" w:hAnsi="宋体" w:cs="宋体" w:eastAsia="宋体"/>
          <w:spacing w:val="-76"/>
        </w:rPr>
        <w:t> </w:t>
      </w:r>
      <w:r>
        <w:rPr>
          <w:rFonts w:ascii="宋体" w:hAnsi="宋体" w:cs="宋体" w:eastAsia="宋体"/>
        </w:rPr>
        <w:t>年期土地目前价值为：11999</w:t>
      </w:r>
      <w:r>
        <w:rPr>
          <w:rFonts w:ascii="宋体" w:hAnsi="宋体" w:cs="宋体" w:eastAsia="宋体"/>
          <w:spacing w:val="-74"/>
        </w:rPr>
        <w:t> </w:t>
      </w:r>
      <w:r>
        <w:rPr>
          <w:rFonts w:ascii="宋体" w:hAnsi="宋体" w:cs="宋体" w:eastAsia="宋体"/>
        </w:rPr>
        <w:t>元</w:t>
      </w:r>
    </w:p>
    <w:p>
      <w:pPr>
        <w:pStyle w:val="BodyText"/>
        <w:spacing w:line="408" w:lineRule="auto"/>
        <w:ind w:left="677" w:right="2883"/>
        <w:jc w:val="left"/>
        <w:rPr>
          <w:rFonts w:ascii="宋体" w:hAnsi="宋体" w:cs="宋体" w:eastAsia="宋体"/>
        </w:rPr>
      </w:pPr>
      <w:r>
        <w:rPr>
          <w:rFonts w:ascii="宋体" w:hAnsi="宋体" w:cs="宋体" w:eastAsia="宋体"/>
          <w:spacing w:val="-2"/>
        </w:rPr>
        <w:t>（3）收益率和每年租金增长率的确定</w:t>
      </w:r>
      <w:r>
        <w:rPr>
          <w:rFonts w:ascii="宋体" w:hAnsi="宋体" w:cs="宋体" w:eastAsia="宋体"/>
          <w:spacing w:val="-117"/>
        </w:rPr>
        <w:t> </w:t>
      </w:r>
      <w:r>
        <w:rPr>
          <w:rFonts w:ascii="宋体" w:hAnsi="宋体" w:cs="宋体" w:eastAsia="宋体"/>
          <w:spacing w:val="-117"/>
        </w:rPr>
      </w:r>
      <w:r>
        <w:rPr>
          <w:rFonts w:ascii="宋体" w:hAnsi="宋体" w:cs="宋体" w:eastAsia="宋体"/>
        </w:rPr>
        <w:t>a.确定收益率</w:t>
      </w:r>
    </w:p>
    <w:p>
      <w:pPr>
        <w:spacing w:after="0" w:line="408" w:lineRule="auto"/>
        <w:jc w:val="left"/>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left="677" w:right="256" w:firstLine="559"/>
        <w:jc w:val="both"/>
        <w:rPr>
          <w:rFonts w:ascii="宋体" w:hAnsi="宋体" w:cs="宋体" w:eastAsia="宋体"/>
        </w:rPr>
      </w:pPr>
      <w:r>
        <w:rPr>
          <w:rFonts w:ascii="宋体" w:hAnsi="宋体" w:cs="宋体" w:eastAsia="宋体"/>
          <w:spacing w:val="2"/>
        </w:rPr>
        <w:t>收益率实质上是投资资本的收益率。我们采用安全利率加风险调</w:t>
      </w:r>
      <w:r>
        <w:rPr>
          <w:rFonts w:ascii="宋体" w:hAnsi="宋体" w:cs="宋体" w:eastAsia="宋体"/>
          <w:w w:val="100"/>
        </w:rPr>
        <w:t> </w:t>
      </w:r>
      <w:r>
        <w:rPr>
          <w:rFonts w:ascii="宋体" w:hAnsi="宋体" w:cs="宋体" w:eastAsia="宋体"/>
          <w:spacing w:val="2"/>
        </w:rPr>
        <w:t>整值法和投资风险与投资收益率综合排序插入法二种方法综合确定收</w:t>
      </w:r>
      <w:r>
        <w:rPr>
          <w:rFonts w:ascii="宋体" w:hAnsi="宋体" w:cs="宋体" w:eastAsia="宋体"/>
          <w:spacing w:val="-99"/>
        </w:rPr>
        <w:t> </w:t>
      </w:r>
      <w:r>
        <w:rPr>
          <w:rFonts w:ascii="宋体" w:hAnsi="宋体" w:cs="宋体" w:eastAsia="宋体"/>
          <w:spacing w:val="-99"/>
        </w:rPr>
      </w:r>
      <w:r>
        <w:rPr>
          <w:rFonts w:ascii="宋体" w:hAnsi="宋体" w:cs="宋体" w:eastAsia="宋体"/>
        </w:rPr>
        <w:t>益率。</w:t>
      </w:r>
    </w:p>
    <w:p>
      <w:pPr>
        <w:pStyle w:val="BodyText"/>
        <w:spacing w:line="408" w:lineRule="auto"/>
        <w:ind w:left="1236" w:right="114" w:hanging="560"/>
        <w:jc w:val="left"/>
        <w:rPr>
          <w:rFonts w:ascii="宋体" w:hAnsi="宋体" w:cs="宋体" w:eastAsia="宋体"/>
        </w:rPr>
      </w:pPr>
      <w:r>
        <w:rPr>
          <w:rFonts w:ascii="宋体" w:hAnsi="宋体" w:cs="宋体" w:eastAsia="宋体"/>
        </w:rPr>
        <w:t>（1）利用安全利率加风险调整值法测算收益率</w:t>
      </w:r>
      <w:r>
        <w:rPr>
          <w:rFonts w:ascii="宋体" w:hAnsi="宋体" w:cs="宋体" w:eastAsia="宋体"/>
          <w:w w:val="100"/>
        </w:rPr>
        <w:t> </w:t>
      </w:r>
      <w:r>
        <w:rPr>
          <w:rFonts w:ascii="宋体" w:hAnsi="宋体" w:cs="宋体" w:eastAsia="宋体"/>
          <w:spacing w:val="2"/>
        </w:rPr>
        <w:t>安全利率是指无风险的资本投资收益率，我们选取中国人民银行</w:t>
      </w:r>
    </w:p>
    <w:p>
      <w:pPr>
        <w:pStyle w:val="BodyText"/>
        <w:spacing w:line="408" w:lineRule="auto"/>
        <w:ind w:left="677" w:right="255"/>
        <w:jc w:val="both"/>
        <w:rPr>
          <w:rFonts w:ascii="宋体" w:hAnsi="宋体" w:cs="宋体" w:eastAsia="宋体"/>
        </w:rPr>
      </w:pPr>
      <w:r>
        <w:rPr>
          <w:rFonts w:ascii="宋体" w:hAnsi="宋体" w:cs="宋体" w:eastAsia="宋体"/>
        </w:rPr>
        <w:t>2018</w:t>
      </w:r>
      <w:r>
        <w:rPr>
          <w:rFonts w:ascii="宋体" w:hAnsi="宋体" w:cs="宋体" w:eastAsia="宋体"/>
          <w:spacing w:val="-59"/>
        </w:rPr>
        <w:t> </w:t>
      </w:r>
      <w:r>
        <w:rPr>
          <w:rFonts w:ascii="宋体" w:hAnsi="宋体" w:cs="宋体" w:eastAsia="宋体"/>
        </w:rPr>
        <w:t>年</w:t>
      </w:r>
      <w:r>
        <w:rPr>
          <w:rFonts w:ascii="宋体" w:hAnsi="宋体" w:cs="宋体" w:eastAsia="宋体"/>
          <w:spacing w:val="-58"/>
        </w:rPr>
        <w:t> </w:t>
      </w:r>
      <w:r>
        <w:rPr>
          <w:rFonts w:ascii="宋体" w:hAnsi="宋体" w:cs="宋体" w:eastAsia="宋体"/>
        </w:rPr>
        <w:t>1</w:t>
      </w:r>
      <w:r>
        <w:rPr>
          <w:rFonts w:ascii="宋体" w:hAnsi="宋体" w:cs="宋体" w:eastAsia="宋体"/>
          <w:spacing w:val="-59"/>
        </w:rPr>
        <w:t> </w:t>
      </w:r>
      <w:r>
        <w:rPr>
          <w:rFonts w:ascii="宋体" w:hAnsi="宋体" w:cs="宋体" w:eastAsia="宋体"/>
        </w:rPr>
        <w:t>月</w:t>
      </w:r>
      <w:r>
        <w:rPr>
          <w:rFonts w:ascii="宋体" w:hAnsi="宋体" w:cs="宋体" w:eastAsia="宋体"/>
          <w:spacing w:val="-61"/>
        </w:rPr>
        <w:t> </w:t>
      </w:r>
      <w:r>
        <w:rPr>
          <w:rFonts w:ascii="宋体" w:hAnsi="宋体" w:cs="宋体" w:eastAsia="宋体"/>
        </w:rPr>
        <w:t>31</w:t>
      </w:r>
      <w:r>
        <w:rPr>
          <w:rFonts w:ascii="宋体" w:hAnsi="宋体" w:cs="宋体" w:eastAsia="宋体"/>
          <w:spacing w:val="-59"/>
        </w:rPr>
        <w:t> </w:t>
      </w:r>
      <w:r>
        <w:rPr>
          <w:rFonts w:ascii="宋体" w:hAnsi="宋体" w:cs="宋体" w:eastAsia="宋体"/>
          <w:spacing w:val="2"/>
        </w:rPr>
        <w:t>日公布的一年期定期存款年利率</w:t>
      </w:r>
      <w:r>
        <w:rPr>
          <w:rFonts w:ascii="宋体" w:hAnsi="宋体" w:cs="宋体" w:eastAsia="宋体"/>
          <w:spacing w:val="-61"/>
        </w:rPr>
        <w:t> </w:t>
      </w:r>
      <w:r>
        <w:rPr>
          <w:rFonts w:ascii="宋体" w:hAnsi="宋体" w:cs="宋体" w:eastAsia="宋体"/>
        </w:rPr>
        <w:t>1.5%作为安全利率。</w:t>
      </w:r>
      <w:r>
        <w:rPr>
          <w:rFonts w:ascii="宋体" w:hAnsi="宋体" w:cs="宋体" w:eastAsia="宋体"/>
          <w:spacing w:val="-138"/>
        </w:rPr>
        <w:t> </w:t>
      </w:r>
      <w:r>
        <w:rPr>
          <w:rFonts w:ascii="宋体" w:hAnsi="宋体" w:cs="宋体" w:eastAsia="宋体"/>
          <w:spacing w:val="-138"/>
        </w:rPr>
      </w:r>
      <w:r>
        <w:rPr>
          <w:rFonts w:ascii="宋体" w:hAnsi="宋体" w:cs="宋体" w:eastAsia="宋体"/>
          <w:spacing w:val="2"/>
        </w:rPr>
        <w:t>由于目前土地投资存在一定风险，综合分析该地区社会经济发展和市</w:t>
      </w:r>
      <w:r>
        <w:rPr>
          <w:rFonts w:ascii="宋体" w:hAnsi="宋体" w:cs="宋体" w:eastAsia="宋体"/>
          <w:spacing w:val="-99"/>
        </w:rPr>
        <w:t> </w:t>
      </w:r>
      <w:r>
        <w:rPr>
          <w:rFonts w:ascii="宋体" w:hAnsi="宋体" w:cs="宋体" w:eastAsia="宋体"/>
          <w:spacing w:val="-99"/>
        </w:rPr>
      </w:r>
      <w:r>
        <w:rPr>
          <w:rFonts w:ascii="宋体" w:hAnsi="宋体" w:cs="宋体" w:eastAsia="宋体"/>
        </w:rPr>
        <w:t>场状况对土地投资的影响程度，确定风险调整值为</w:t>
      </w:r>
      <w:r>
        <w:rPr>
          <w:rFonts w:ascii="宋体" w:hAnsi="宋体" w:cs="宋体" w:eastAsia="宋体"/>
          <w:spacing w:val="-55"/>
        </w:rPr>
        <w:t> </w:t>
      </w:r>
      <w:r>
        <w:rPr>
          <w:rFonts w:ascii="宋体" w:hAnsi="宋体" w:cs="宋体" w:eastAsia="宋体"/>
        </w:rPr>
        <w:t>6.5-8.5%，由此求</w:t>
      </w:r>
      <w:r>
        <w:rPr>
          <w:rFonts w:ascii="宋体" w:hAnsi="宋体" w:cs="宋体" w:eastAsia="宋体"/>
          <w:spacing w:val="-135"/>
        </w:rPr>
        <w:t> </w:t>
      </w:r>
      <w:r>
        <w:rPr>
          <w:rFonts w:ascii="宋体" w:hAnsi="宋体" w:cs="宋体" w:eastAsia="宋体"/>
          <w:spacing w:val="-135"/>
        </w:rPr>
      </w:r>
      <w:r>
        <w:rPr>
          <w:rFonts w:ascii="宋体" w:hAnsi="宋体" w:cs="宋体" w:eastAsia="宋体"/>
        </w:rPr>
        <w:t>得收益率为</w:t>
      </w:r>
      <w:r>
        <w:rPr>
          <w:rFonts w:ascii="宋体" w:hAnsi="宋体" w:cs="宋体" w:eastAsia="宋体"/>
          <w:spacing w:val="-76"/>
        </w:rPr>
        <w:t> </w:t>
      </w:r>
      <w:r>
        <w:rPr>
          <w:rFonts w:ascii="宋体" w:hAnsi="宋体" w:cs="宋体" w:eastAsia="宋体"/>
        </w:rPr>
        <w:t>8-10%。</w:t>
      </w:r>
    </w:p>
    <w:p>
      <w:pPr>
        <w:pStyle w:val="BodyText"/>
        <w:spacing w:line="408" w:lineRule="auto"/>
        <w:ind w:left="1236" w:right="114" w:hanging="560"/>
        <w:jc w:val="left"/>
        <w:rPr>
          <w:rFonts w:ascii="宋体" w:hAnsi="宋体" w:cs="宋体" w:eastAsia="宋体"/>
        </w:rPr>
      </w:pPr>
      <w:r>
        <w:rPr>
          <w:rFonts w:ascii="宋体" w:hAnsi="宋体" w:cs="宋体" w:eastAsia="宋体"/>
        </w:rPr>
        <w:t>（2）利用投资风险与投资收益率综合排序插入法测算收益率</w:t>
      </w:r>
      <w:r>
        <w:rPr>
          <w:rFonts w:ascii="宋体" w:hAnsi="宋体" w:cs="宋体" w:eastAsia="宋体"/>
          <w:w w:val="100"/>
        </w:rPr>
        <w:t> </w:t>
      </w:r>
      <w:r>
        <w:rPr>
          <w:rFonts w:ascii="宋体" w:hAnsi="宋体" w:cs="宋体" w:eastAsia="宋体"/>
          <w:spacing w:val="2"/>
        </w:rPr>
        <w:t>投资的收益与投资风险密切相关，目前比较安全、风险性小的投</w:t>
      </w:r>
    </w:p>
    <w:p>
      <w:pPr>
        <w:pStyle w:val="BodyText"/>
        <w:spacing w:line="408" w:lineRule="auto"/>
        <w:ind w:left="677" w:right="114"/>
        <w:jc w:val="left"/>
        <w:rPr>
          <w:rFonts w:ascii="宋体" w:hAnsi="宋体" w:cs="宋体" w:eastAsia="宋体"/>
        </w:rPr>
      </w:pPr>
      <w:r>
        <w:rPr>
          <w:rFonts w:ascii="宋体" w:hAnsi="宋体" w:cs="宋体" w:eastAsia="宋体"/>
          <w:spacing w:val="2"/>
        </w:rPr>
        <w:t>资有银行一年期定期存款、三年期国债，但其收益率也较低，分别为</w:t>
      </w:r>
      <w:r>
        <w:rPr>
          <w:rFonts w:ascii="宋体" w:hAnsi="宋体" w:cs="宋体" w:eastAsia="宋体"/>
          <w:spacing w:val="-99"/>
        </w:rPr>
        <w:t> </w:t>
      </w:r>
      <w:r>
        <w:rPr>
          <w:rFonts w:ascii="宋体" w:hAnsi="宋体" w:cs="宋体" w:eastAsia="宋体"/>
          <w:spacing w:val="-99"/>
        </w:rPr>
      </w:r>
      <w:r>
        <w:rPr>
          <w:rFonts w:ascii="宋体" w:hAnsi="宋体" w:cs="宋体" w:eastAsia="宋体"/>
        </w:rPr>
        <w:t>1.5%和</w:t>
      </w:r>
      <w:r>
        <w:rPr>
          <w:rFonts w:ascii="宋体" w:hAnsi="宋体" w:cs="宋体" w:eastAsia="宋体"/>
          <w:spacing w:val="-59"/>
        </w:rPr>
        <w:t> </w:t>
      </w:r>
      <w:r>
        <w:rPr>
          <w:rFonts w:ascii="宋体" w:hAnsi="宋体" w:cs="宋体" w:eastAsia="宋体"/>
          <w:spacing w:val="-8"/>
        </w:rPr>
        <w:t>4.92%；银行贷款存在一定风险，其收益率高于前者，为</w:t>
      </w:r>
      <w:r>
        <w:rPr>
          <w:rFonts w:ascii="宋体" w:hAnsi="宋体" w:cs="宋体" w:eastAsia="宋体"/>
          <w:spacing w:val="-59"/>
        </w:rPr>
        <w:t> </w:t>
      </w:r>
      <w:r>
        <w:rPr>
          <w:rFonts w:ascii="宋体" w:hAnsi="宋体" w:cs="宋体" w:eastAsia="宋体"/>
        </w:rPr>
        <w:t>4.35%；</w:t>
      </w:r>
      <w:r>
        <w:rPr>
          <w:rFonts w:ascii="宋体" w:hAnsi="宋体" w:cs="宋体" w:eastAsia="宋体"/>
          <w:spacing w:val="-136"/>
        </w:rPr>
        <w:t> </w:t>
      </w:r>
      <w:r>
        <w:rPr>
          <w:rFonts w:ascii="宋体" w:hAnsi="宋体" w:cs="宋体" w:eastAsia="宋体"/>
          <w:spacing w:val="-136"/>
        </w:rPr>
      </w:r>
      <w:r>
        <w:rPr>
          <w:rFonts w:ascii="宋体" w:hAnsi="宋体" w:cs="宋体" w:eastAsia="宋体"/>
          <w:spacing w:val="2"/>
        </w:rPr>
        <w:t>投资在土地开发方面风险较大，其法定利润率为</w:t>
      </w:r>
      <w:r>
        <w:rPr>
          <w:rFonts w:ascii="宋体" w:hAnsi="宋体" w:cs="宋体" w:eastAsia="宋体"/>
          <w:spacing w:val="-55"/>
        </w:rPr>
        <w:t> </w:t>
      </w:r>
      <w:r>
        <w:rPr>
          <w:rFonts w:ascii="宋体" w:hAnsi="宋体" w:cs="宋体" w:eastAsia="宋体"/>
        </w:rPr>
        <w:t>8-12%，平均为</w:t>
      </w:r>
      <w:r>
        <w:rPr>
          <w:rFonts w:ascii="宋体" w:hAnsi="宋体" w:cs="宋体" w:eastAsia="宋体"/>
          <w:spacing w:val="-55"/>
        </w:rPr>
        <w:t> </w:t>
      </w:r>
      <w:r>
        <w:rPr>
          <w:rFonts w:ascii="宋体" w:hAnsi="宋体" w:cs="宋体" w:eastAsia="宋体"/>
        </w:rPr>
        <w:t>9%；</w:t>
      </w:r>
      <w:r>
        <w:rPr>
          <w:rFonts w:ascii="宋体" w:hAnsi="宋体" w:cs="宋体" w:eastAsia="宋体"/>
          <w:spacing w:val="-115"/>
        </w:rPr>
        <w:t> </w:t>
      </w:r>
      <w:r>
        <w:rPr>
          <w:rFonts w:ascii="宋体" w:hAnsi="宋体" w:cs="宋体" w:eastAsia="宋体"/>
          <w:spacing w:val="-115"/>
        </w:rPr>
      </w:r>
      <w:r>
        <w:rPr>
          <w:rFonts w:ascii="宋体" w:hAnsi="宋体" w:cs="宋体" w:eastAsia="宋体"/>
          <w:spacing w:val="11"/>
        </w:rPr>
        <w:t>而投资在股市则风险更大，其收益亦可能更高，据此测得收益率为</w:t>
      </w:r>
      <w:r>
        <w:rPr>
          <w:rFonts w:ascii="宋体" w:hAnsi="宋体" w:cs="宋体" w:eastAsia="宋体"/>
          <w:spacing w:val="-84"/>
        </w:rPr>
        <w:t> </w:t>
      </w:r>
      <w:r>
        <w:rPr>
          <w:rFonts w:ascii="宋体" w:hAnsi="宋体" w:cs="宋体" w:eastAsia="宋体"/>
          <w:spacing w:val="-84"/>
        </w:rPr>
      </w:r>
      <w:r>
        <w:rPr>
          <w:rFonts w:ascii="宋体" w:hAnsi="宋体" w:cs="宋体" w:eastAsia="宋体"/>
        </w:rPr>
        <w:t>8%-12%。</w:t>
      </w:r>
    </w:p>
    <w:p>
      <w:pPr>
        <w:pStyle w:val="BodyText"/>
        <w:spacing w:line="240" w:lineRule="auto"/>
        <w:ind w:left="677" w:right="114"/>
        <w:jc w:val="left"/>
        <w:rPr>
          <w:rFonts w:ascii="宋体" w:hAnsi="宋体" w:cs="宋体" w:eastAsia="宋体"/>
        </w:rPr>
      </w:pPr>
      <w:r>
        <w:rPr>
          <w:rFonts w:ascii="宋体" w:hAnsi="宋体" w:cs="宋体" w:eastAsia="宋体"/>
        </w:rPr>
        <w:t>综合上述二种方法测算结果，最终确定本次采用的收益率为</w:t>
      </w:r>
      <w:r>
        <w:rPr>
          <w:rFonts w:ascii="宋体" w:hAnsi="宋体" w:cs="宋体" w:eastAsia="宋体"/>
          <w:spacing w:val="-88"/>
        </w:rPr>
        <w:t> </w:t>
      </w:r>
      <w:r>
        <w:rPr>
          <w:rFonts w:ascii="宋体" w:hAnsi="宋体" w:cs="宋体" w:eastAsia="宋体"/>
        </w:rPr>
        <w:t>8.5%。</w:t>
      </w:r>
    </w:p>
    <w:p>
      <w:pPr>
        <w:spacing w:line="240" w:lineRule="auto" w:before="9"/>
        <w:rPr>
          <w:rFonts w:ascii="宋体" w:hAnsi="宋体" w:cs="宋体" w:eastAsia="宋体"/>
          <w:sz w:val="19"/>
          <w:szCs w:val="19"/>
        </w:rPr>
      </w:pPr>
    </w:p>
    <w:p>
      <w:pPr>
        <w:pStyle w:val="BodyText"/>
        <w:spacing w:line="240" w:lineRule="auto" w:before="0"/>
        <w:ind w:right="114"/>
        <w:jc w:val="left"/>
        <w:rPr>
          <w:rFonts w:ascii="宋体" w:hAnsi="宋体" w:cs="宋体" w:eastAsia="宋体"/>
        </w:rPr>
      </w:pPr>
      <w:r>
        <w:rPr>
          <w:rFonts w:ascii="宋体" w:hAnsi="宋体" w:cs="宋体" w:eastAsia="宋体"/>
        </w:rPr>
        <w:t>（4）租金增长率</w:t>
      </w:r>
    </w:p>
    <w:p>
      <w:pPr>
        <w:spacing w:line="240" w:lineRule="auto" w:before="9"/>
        <w:rPr>
          <w:rFonts w:ascii="宋体" w:hAnsi="宋体" w:cs="宋体" w:eastAsia="宋体"/>
          <w:sz w:val="19"/>
          <w:szCs w:val="19"/>
        </w:rPr>
      </w:pPr>
    </w:p>
    <w:p>
      <w:pPr>
        <w:pStyle w:val="BodyText"/>
        <w:spacing w:line="408" w:lineRule="auto" w:before="0"/>
        <w:ind w:right="114" w:firstLine="840"/>
        <w:jc w:val="left"/>
        <w:rPr>
          <w:rFonts w:ascii="宋体" w:hAnsi="宋体" w:cs="宋体" w:eastAsia="宋体"/>
        </w:rPr>
      </w:pPr>
      <w:r>
        <w:rPr>
          <w:rFonts w:ascii="宋体" w:hAnsi="宋体" w:cs="宋体" w:eastAsia="宋体"/>
          <w:spacing w:val="2"/>
        </w:rPr>
        <w:t>根据资产的实际情况，估价人员经过市场调查目前同地区同类型的</w:t>
      </w:r>
      <w:r>
        <w:rPr>
          <w:rFonts w:ascii="宋体" w:hAnsi="宋体" w:cs="宋体" w:eastAsia="宋体"/>
          <w:w w:val="100"/>
        </w:rPr>
        <w:t> </w:t>
      </w:r>
      <w:r>
        <w:rPr>
          <w:rFonts w:ascii="宋体" w:hAnsi="宋体" w:cs="宋体" w:eastAsia="宋体"/>
        </w:rPr>
        <w:t>土地使用权，确定年租金增长率为</w:t>
      </w:r>
      <w:r>
        <w:rPr>
          <w:rFonts w:ascii="宋体" w:hAnsi="宋体" w:cs="宋体" w:eastAsia="宋体"/>
          <w:spacing w:val="-79"/>
        </w:rPr>
        <w:t> </w:t>
      </w:r>
      <w:r>
        <w:rPr>
          <w:rFonts w:ascii="宋体" w:hAnsi="宋体" w:cs="宋体" w:eastAsia="宋体"/>
        </w:rPr>
        <w:t>3%。</w:t>
      </w:r>
    </w:p>
    <w:p>
      <w:pPr>
        <w:pStyle w:val="BodyText"/>
        <w:spacing w:line="408" w:lineRule="auto"/>
        <w:ind w:left="677" w:right="114"/>
        <w:jc w:val="left"/>
        <w:rPr>
          <w:rFonts w:ascii="宋体" w:hAnsi="宋体" w:cs="宋体" w:eastAsia="宋体"/>
        </w:rPr>
      </w:pPr>
      <w:r>
        <w:rPr>
          <w:rFonts w:ascii="宋体" w:hAnsi="宋体" w:cs="宋体" w:eastAsia="宋体"/>
        </w:rPr>
        <w:t>5、收益法评估结果</w:t>
      </w:r>
      <w:r>
        <w:rPr>
          <w:rFonts w:ascii="宋体" w:hAnsi="宋体" w:cs="宋体" w:eastAsia="宋体"/>
          <w:w w:val="100"/>
        </w:rPr>
        <w:t> </w:t>
      </w:r>
      <w:r>
        <w:rPr>
          <w:rFonts w:ascii="宋体" w:hAnsi="宋体" w:cs="宋体" w:eastAsia="宋体"/>
          <w:spacing w:val="2"/>
        </w:rPr>
        <w:t>经过履行资产核查、取价依据调查和评定估算等程序，对牙鲆鱼养殖</w:t>
      </w:r>
    </w:p>
    <w:p>
      <w:pPr>
        <w:spacing w:after="0" w:line="408" w:lineRule="auto"/>
        <w:jc w:val="left"/>
        <w:rPr>
          <w:rFonts w:ascii="宋体" w:hAnsi="宋体" w:cs="宋体" w:eastAsia="宋体"/>
        </w:rPr>
        <w:sectPr>
          <w:pgSz w:w="11910" w:h="16840"/>
          <w:pgMar w:header="878" w:footer="1196" w:top="1100" w:bottom="1380" w:left="1300" w:right="1160"/>
        </w:sectPr>
      </w:pPr>
    </w:p>
    <w:p>
      <w:pPr>
        <w:spacing w:line="240" w:lineRule="auto" w:before="0"/>
        <w:rPr>
          <w:rFonts w:ascii="宋体" w:hAnsi="宋体" w:cs="宋体" w:eastAsia="宋体"/>
          <w:sz w:val="20"/>
          <w:szCs w:val="20"/>
        </w:rPr>
      </w:pPr>
    </w:p>
    <w:p>
      <w:pPr>
        <w:pStyle w:val="BodyText"/>
        <w:spacing w:line="408" w:lineRule="auto" w:before="146"/>
        <w:ind w:right="114"/>
        <w:jc w:val="left"/>
        <w:rPr>
          <w:rFonts w:ascii="宋体" w:hAnsi="宋体" w:cs="宋体" w:eastAsia="宋体"/>
        </w:rPr>
      </w:pPr>
      <w:r>
        <w:rPr>
          <w:rFonts w:ascii="宋体" w:hAnsi="宋体" w:cs="宋体" w:eastAsia="宋体"/>
          <w:spacing w:val="2"/>
        </w:rPr>
        <w:t>示范开发项目中涉及的土地使用权（租金）的市场价值在评估基准日的评</w:t>
      </w:r>
      <w:r>
        <w:rPr>
          <w:rFonts w:ascii="宋体" w:hAnsi="宋体" w:cs="宋体" w:eastAsia="宋体"/>
          <w:spacing w:val="-101"/>
        </w:rPr>
        <w:t> </w:t>
      </w:r>
      <w:r>
        <w:rPr>
          <w:rFonts w:ascii="宋体" w:hAnsi="宋体" w:cs="宋体" w:eastAsia="宋体"/>
          <w:spacing w:val="-101"/>
        </w:rPr>
      </w:r>
      <w:r>
        <w:rPr>
          <w:rFonts w:ascii="宋体" w:hAnsi="宋体" w:cs="宋体" w:eastAsia="宋体"/>
        </w:rPr>
        <w:t>估结果为：1020</w:t>
      </w:r>
      <w:r>
        <w:rPr>
          <w:rFonts w:ascii="宋体" w:hAnsi="宋体" w:cs="宋体" w:eastAsia="宋体"/>
          <w:spacing w:val="-77"/>
        </w:rPr>
        <w:t> </w:t>
      </w:r>
      <w:r>
        <w:rPr>
          <w:rFonts w:ascii="宋体" w:hAnsi="宋体" w:cs="宋体" w:eastAsia="宋体"/>
        </w:rPr>
        <w:t>元/亩</w:t>
      </w:r>
      <w:r>
        <w:rPr>
          <w:rFonts w:ascii="Arial" w:hAnsi="Arial" w:cs="Arial" w:eastAsia="Arial"/>
        </w:rPr>
        <w:t>•</w:t>
      </w:r>
      <w:r>
        <w:rPr>
          <w:rFonts w:ascii="宋体" w:hAnsi="宋体" w:cs="宋体" w:eastAsia="宋体"/>
        </w:rPr>
        <w:t>年。</w:t>
      </w:r>
    </w:p>
    <w:p>
      <w:pPr>
        <w:pStyle w:val="BodyText"/>
        <w:tabs>
          <w:tab w:pos="538" w:val="left" w:leader="none"/>
        </w:tabs>
        <w:spacing w:line="240" w:lineRule="auto" w:before="18"/>
        <w:ind w:right="114"/>
        <w:jc w:val="left"/>
        <w:rPr>
          <w:rFonts w:ascii="宋体" w:hAnsi="宋体" w:cs="宋体" w:eastAsia="宋体"/>
        </w:rPr>
      </w:pPr>
      <w:r>
        <w:rPr>
          <w:rFonts w:ascii="Wingdings" w:hAnsi="Wingdings" w:cs="Wingdings" w:eastAsia="Wingdings"/>
        </w:rPr>
        <w:t></w:t>
      </w:r>
      <w:r>
        <w:rPr>
          <w:rFonts w:ascii="Times New Roman" w:hAnsi="Times New Roman" w:cs="Times New Roman" w:eastAsia="Times New Roman"/>
        </w:rPr>
        <w:tab/>
      </w:r>
      <w:bookmarkStart w:name="评估结果" w:id="50"/>
      <w:bookmarkEnd w:id="50"/>
      <w:r>
        <w:rPr>
          <w:rFonts w:ascii="Times New Roman" w:hAnsi="Times New Roman" w:cs="Times New Roman" w:eastAsia="Times New Roman"/>
        </w:rPr>
      </w:r>
      <w:r>
        <w:rPr>
          <w:rFonts w:ascii="宋体" w:hAnsi="宋体" w:cs="宋体" w:eastAsia="宋体"/>
        </w:rPr>
        <w:t>评估结果</w:t>
      </w:r>
    </w:p>
    <w:p>
      <w:pPr>
        <w:pStyle w:val="BodyText"/>
        <w:spacing w:line="408" w:lineRule="auto" w:before="238"/>
        <w:ind w:right="114" w:firstLine="559"/>
        <w:jc w:val="left"/>
        <w:rPr>
          <w:rFonts w:ascii="宋体" w:hAnsi="宋体" w:cs="宋体" w:eastAsia="宋体"/>
        </w:rPr>
      </w:pPr>
      <w:r>
        <w:rPr>
          <w:rFonts w:ascii="宋体" w:hAnsi="宋体" w:cs="宋体" w:eastAsia="宋体"/>
          <w:spacing w:val="-7"/>
        </w:rPr>
        <w:t>1、采用市场法，牙鲆鱼养殖示范开发项目中涉及的土地使用权（租金）</w:t>
      </w:r>
      <w:r>
        <w:rPr>
          <w:rFonts w:ascii="宋体" w:hAnsi="宋体" w:cs="宋体" w:eastAsia="宋体"/>
          <w:w w:val="100"/>
        </w:rPr>
        <w:t> </w:t>
      </w:r>
      <w:r>
        <w:rPr>
          <w:rFonts w:ascii="宋体" w:hAnsi="宋体" w:cs="宋体" w:eastAsia="宋体"/>
        </w:rPr>
        <w:t>在评估基准日的评估结果为：</w:t>
      </w:r>
      <w:r>
        <w:rPr>
          <w:rFonts w:ascii="Calibri" w:hAnsi="Calibri" w:cs="Calibri" w:eastAsia="Calibri"/>
        </w:rPr>
        <w:t>967</w:t>
      </w:r>
      <w:r>
        <w:rPr>
          <w:rFonts w:ascii="宋体" w:hAnsi="宋体" w:cs="宋体" w:eastAsia="宋体"/>
        </w:rPr>
        <w:t>（元</w:t>
      </w:r>
      <w:r>
        <w:rPr>
          <w:rFonts w:ascii="Calibri" w:hAnsi="Calibri" w:cs="Calibri" w:eastAsia="Calibri"/>
        </w:rPr>
        <w:t>/</w:t>
      </w:r>
      <w:r>
        <w:rPr>
          <w:rFonts w:ascii="宋体" w:hAnsi="宋体" w:cs="宋体" w:eastAsia="宋体"/>
        </w:rPr>
        <w:t>亩</w:t>
      </w:r>
      <w:r>
        <w:rPr>
          <w:rFonts w:ascii="Arial" w:hAnsi="Arial" w:cs="Arial" w:eastAsia="Arial"/>
        </w:rPr>
        <w:t>•</w:t>
      </w:r>
      <w:r>
        <w:rPr>
          <w:rFonts w:ascii="宋体" w:hAnsi="宋体" w:cs="宋体" w:eastAsia="宋体"/>
        </w:rPr>
        <w:t>年）。</w:t>
      </w:r>
    </w:p>
    <w:p>
      <w:pPr>
        <w:pStyle w:val="BodyText"/>
        <w:spacing w:line="349" w:lineRule="exact" w:before="0"/>
        <w:ind w:right="114" w:firstLine="559"/>
        <w:jc w:val="left"/>
        <w:rPr>
          <w:rFonts w:ascii="宋体" w:hAnsi="宋体" w:cs="宋体" w:eastAsia="宋体"/>
        </w:rPr>
      </w:pPr>
      <w:r>
        <w:rPr>
          <w:rFonts w:ascii="宋体" w:hAnsi="宋体" w:cs="宋体" w:eastAsia="宋体"/>
          <w:spacing w:val="-7"/>
        </w:rPr>
        <w:t>2、采用收益法，牙鲆鱼养殖示范开发项目中涉及的土地使用权（租金）</w:t>
      </w:r>
    </w:p>
    <w:p>
      <w:pPr>
        <w:spacing w:line="240" w:lineRule="auto" w:before="9"/>
        <w:rPr>
          <w:rFonts w:ascii="宋体" w:hAnsi="宋体" w:cs="宋体" w:eastAsia="宋体"/>
          <w:sz w:val="19"/>
          <w:szCs w:val="19"/>
        </w:rPr>
      </w:pPr>
    </w:p>
    <w:p>
      <w:pPr>
        <w:pStyle w:val="BodyText"/>
        <w:spacing w:line="372" w:lineRule="auto" w:before="0"/>
        <w:ind w:left="656" w:right="114" w:hanging="538"/>
        <w:jc w:val="left"/>
        <w:rPr>
          <w:rFonts w:ascii="宋体" w:hAnsi="宋体" w:cs="宋体" w:eastAsia="宋体"/>
        </w:rPr>
      </w:pPr>
      <w:r>
        <w:rPr>
          <w:rFonts w:ascii="宋体" w:hAnsi="宋体" w:cs="宋体" w:eastAsia="宋体"/>
        </w:rPr>
        <w:t>在评估基准日的评估结果为：</w:t>
      </w:r>
      <w:r>
        <w:rPr>
          <w:rFonts w:ascii="Calibri" w:hAnsi="Calibri" w:cs="Calibri" w:eastAsia="Calibri"/>
        </w:rPr>
        <w:t>1020</w:t>
      </w:r>
      <w:r>
        <w:rPr>
          <w:rFonts w:ascii="宋体" w:hAnsi="宋体" w:cs="宋体" w:eastAsia="宋体"/>
        </w:rPr>
        <w:t>（元</w:t>
      </w:r>
      <w:r>
        <w:rPr>
          <w:rFonts w:ascii="Calibri" w:hAnsi="Calibri" w:cs="Calibri" w:eastAsia="Calibri"/>
        </w:rPr>
        <w:t>/</w:t>
      </w:r>
      <w:r>
        <w:rPr>
          <w:rFonts w:ascii="宋体" w:hAnsi="宋体" w:cs="宋体" w:eastAsia="宋体"/>
        </w:rPr>
        <w:t>亩</w:t>
      </w:r>
      <w:r>
        <w:rPr>
          <w:rFonts w:ascii="Arial" w:hAnsi="Arial" w:cs="Arial" w:eastAsia="Arial"/>
        </w:rPr>
        <w:t>•</w:t>
      </w:r>
      <w:r>
        <w:rPr>
          <w:rFonts w:ascii="宋体" w:hAnsi="宋体" w:cs="宋体" w:eastAsia="宋体"/>
        </w:rPr>
        <w:t>年</w:t>
      </w:r>
      <w:r>
        <w:rPr>
          <w:rFonts w:ascii="Calibri" w:hAnsi="Calibri" w:cs="Calibri" w:eastAsia="Calibri"/>
        </w:rPr>
        <w:t>)</w:t>
      </w:r>
      <w:r>
        <w:rPr>
          <w:rFonts w:ascii="宋体" w:hAnsi="宋体" w:cs="宋体" w:eastAsia="宋体"/>
        </w:rPr>
        <w:t>。</w:t>
      </w:r>
      <w:r>
        <w:rPr>
          <w:rFonts w:ascii="宋体" w:hAnsi="宋体" w:cs="宋体" w:eastAsia="宋体"/>
          <w:w w:val="100"/>
        </w:rPr>
        <w:t> </w:t>
      </w:r>
      <w:r>
        <w:rPr>
          <w:rFonts w:ascii="宋体" w:hAnsi="宋体" w:cs="宋体" w:eastAsia="宋体"/>
          <w:spacing w:val="-2"/>
        </w:rPr>
        <w:t>3、本次估价采用两种方法测算过程正确、参数合理、测算结果相差不</w:t>
      </w:r>
    </w:p>
    <w:p>
      <w:pPr>
        <w:pStyle w:val="BodyText"/>
        <w:spacing w:line="408" w:lineRule="auto" w:before="103"/>
        <w:ind w:right="114"/>
        <w:jc w:val="left"/>
        <w:rPr>
          <w:rFonts w:ascii="宋体" w:hAnsi="宋体" w:cs="宋体" w:eastAsia="宋体"/>
        </w:rPr>
      </w:pPr>
      <w:r>
        <w:rPr>
          <w:rFonts w:ascii="宋体" w:hAnsi="宋体" w:cs="宋体" w:eastAsia="宋体"/>
          <w:spacing w:val="2"/>
        </w:rPr>
        <w:t>大且均能准确反映待估对象真实价值，根据目前市场行情和项目情况，建</w:t>
      </w:r>
      <w:r>
        <w:rPr>
          <w:rFonts w:ascii="宋体" w:hAnsi="宋体" w:cs="宋体" w:eastAsia="宋体"/>
          <w:spacing w:val="-103"/>
        </w:rPr>
        <w:t> </w:t>
      </w:r>
      <w:r>
        <w:rPr>
          <w:rFonts w:ascii="宋体" w:hAnsi="宋体" w:cs="宋体" w:eastAsia="宋体"/>
          <w:spacing w:val="-103"/>
        </w:rPr>
      </w:r>
      <w:r>
        <w:rPr>
          <w:rFonts w:ascii="宋体" w:hAnsi="宋体" w:cs="宋体" w:eastAsia="宋体"/>
          <w:spacing w:val="3"/>
        </w:rPr>
        <w:t>议估价对象按</w:t>
      </w:r>
      <w:r>
        <w:rPr>
          <w:rFonts w:ascii="宋体" w:hAnsi="宋体" w:cs="宋体" w:eastAsia="宋体"/>
          <w:spacing w:val="-53"/>
        </w:rPr>
        <w:t> </w:t>
      </w:r>
      <w:r>
        <w:rPr>
          <w:rFonts w:ascii="Calibri" w:hAnsi="Calibri" w:cs="Calibri" w:eastAsia="Calibri"/>
        </w:rPr>
        <w:t>1000</w:t>
      </w:r>
      <w:r>
        <w:rPr>
          <w:rFonts w:ascii="Calibri" w:hAnsi="Calibri" w:cs="Calibri" w:eastAsia="Calibri"/>
          <w:spacing w:val="25"/>
        </w:rPr>
        <w:t> </w:t>
      </w:r>
      <w:r>
        <w:rPr>
          <w:rFonts w:ascii="宋体" w:hAnsi="宋体" w:cs="宋体" w:eastAsia="宋体"/>
          <w:spacing w:val="3"/>
        </w:rPr>
        <w:t>元</w:t>
      </w:r>
      <w:r>
        <w:rPr>
          <w:rFonts w:ascii="Calibri" w:hAnsi="Calibri" w:cs="Calibri" w:eastAsia="Calibri"/>
          <w:spacing w:val="3"/>
        </w:rPr>
        <w:t>/</w:t>
      </w:r>
      <w:r>
        <w:rPr>
          <w:rFonts w:ascii="宋体" w:hAnsi="宋体" w:cs="宋体" w:eastAsia="宋体"/>
          <w:spacing w:val="3"/>
        </w:rPr>
        <w:t>亩</w:t>
      </w:r>
      <w:r>
        <w:rPr>
          <w:rFonts w:ascii="Arial" w:hAnsi="Arial" w:cs="Arial" w:eastAsia="Arial"/>
          <w:spacing w:val="3"/>
        </w:rPr>
        <w:t>•</w:t>
      </w:r>
      <w:r>
        <w:rPr>
          <w:rFonts w:ascii="宋体" w:hAnsi="宋体" w:cs="宋体" w:eastAsia="宋体"/>
          <w:spacing w:val="3"/>
        </w:rPr>
        <w:t>年计算可得土地面积为</w:t>
      </w:r>
      <w:r>
        <w:rPr>
          <w:rFonts w:ascii="宋体" w:hAnsi="宋体" w:cs="宋体" w:eastAsia="宋体"/>
          <w:spacing w:val="-53"/>
        </w:rPr>
        <w:t> </w:t>
      </w:r>
      <w:r>
        <w:rPr>
          <w:rFonts w:ascii="Calibri" w:hAnsi="Calibri" w:cs="Calibri" w:eastAsia="Calibri"/>
        </w:rPr>
        <w:t>10</w:t>
      </w:r>
      <w:r>
        <w:rPr>
          <w:rFonts w:ascii="Calibri" w:hAnsi="Calibri" w:cs="Calibri" w:eastAsia="Calibri"/>
          <w:spacing w:val="25"/>
        </w:rPr>
        <w:t> </w:t>
      </w:r>
      <w:r>
        <w:rPr>
          <w:rFonts w:ascii="宋体" w:hAnsi="宋体" w:cs="宋体" w:eastAsia="宋体"/>
          <w:spacing w:val="3"/>
        </w:rPr>
        <w:t>亩，租赁使用年期为</w:t>
      </w:r>
    </w:p>
    <w:p>
      <w:pPr>
        <w:pStyle w:val="BodyText"/>
        <w:spacing w:line="385" w:lineRule="exact" w:before="0"/>
        <w:ind w:right="114"/>
        <w:jc w:val="left"/>
        <w:rPr>
          <w:rFonts w:ascii="宋体" w:hAnsi="宋体" w:cs="宋体" w:eastAsia="宋体"/>
        </w:rPr>
      </w:pPr>
      <w:r>
        <w:rPr>
          <w:rFonts w:ascii="Calibri" w:hAnsi="Calibri" w:cs="Calibri" w:eastAsia="Calibri"/>
        </w:rPr>
        <w:t>20</w:t>
      </w:r>
      <w:r>
        <w:rPr>
          <w:rFonts w:ascii="Calibri" w:hAnsi="Calibri" w:cs="Calibri" w:eastAsia="Calibri"/>
          <w:spacing w:val="-1"/>
        </w:rPr>
        <w:t> </w:t>
      </w:r>
      <w:r>
        <w:rPr>
          <w:rFonts w:ascii="宋体" w:hAnsi="宋体" w:cs="宋体" w:eastAsia="宋体"/>
        </w:rPr>
        <w:t>年的租赁价值总额为：</w:t>
      </w:r>
    </w:p>
    <w:p>
      <w:pPr>
        <w:pStyle w:val="BodyText"/>
        <w:spacing w:line="240" w:lineRule="auto" w:before="89"/>
        <w:ind w:left="317" w:right="114"/>
        <w:jc w:val="left"/>
        <w:rPr>
          <w:rFonts w:ascii="宋体" w:hAnsi="宋体" w:cs="宋体" w:eastAsia="宋体"/>
        </w:rPr>
      </w:pPr>
      <w:r>
        <w:rPr>
          <w:rFonts w:ascii="Calibri" w:hAnsi="Calibri" w:cs="Calibri" w:eastAsia="Calibri"/>
        </w:rPr>
        <w:t>1000 </w:t>
      </w:r>
      <w:r>
        <w:rPr>
          <w:rFonts w:ascii="宋体" w:hAnsi="宋体" w:cs="宋体" w:eastAsia="宋体"/>
        </w:rPr>
        <w:t>元</w:t>
      </w:r>
      <w:r>
        <w:rPr>
          <w:rFonts w:ascii="Calibri" w:hAnsi="Calibri" w:cs="Calibri" w:eastAsia="Calibri"/>
        </w:rPr>
        <w:t>/</w:t>
      </w:r>
      <w:r>
        <w:rPr>
          <w:rFonts w:ascii="宋体" w:hAnsi="宋体" w:cs="宋体" w:eastAsia="宋体"/>
        </w:rPr>
        <w:t>亩</w:t>
      </w:r>
      <w:r>
        <w:rPr>
          <w:rFonts w:ascii="Arial" w:hAnsi="Arial" w:cs="Arial" w:eastAsia="Arial"/>
        </w:rPr>
        <w:t>•</w:t>
      </w:r>
      <w:r>
        <w:rPr>
          <w:rFonts w:ascii="宋体" w:hAnsi="宋体" w:cs="宋体" w:eastAsia="宋体"/>
        </w:rPr>
        <w:t>年×</w:t>
      </w:r>
      <w:r>
        <w:rPr>
          <w:rFonts w:ascii="Calibri" w:hAnsi="Calibri" w:cs="Calibri" w:eastAsia="Calibri"/>
        </w:rPr>
        <w:t>10 </w:t>
      </w:r>
      <w:r>
        <w:rPr>
          <w:rFonts w:ascii="宋体" w:hAnsi="宋体" w:cs="宋体" w:eastAsia="宋体"/>
        </w:rPr>
        <w:t>亩×</w:t>
      </w:r>
      <w:r>
        <w:rPr>
          <w:rFonts w:ascii="Calibri" w:hAnsi="Calibri" w:cs="Calibri" w:eastAsia="Calibri"/>
        </w:rPr>
        <w:t>20 </w:t>
      </w:r>
      <w:r>
        <w:rPr>
          <w:rFonts w:ascii="宋体" w:hAnsi="宋体" w:cs="宋体" w:eastAsia="宋体"/>
        </w:rPr>
        <w:t>年</w:t>
      </w:r>
      <w:r>
        <w:rPr>
          <w:rFonts w:ascii="Calibri" w:hAnsi="Calibri" w:cs="Calibri" w:eastAsia="Calibri"/>
        </w:rPr>
        <w:t>=20</w:t>
      </w:r>
      <w:r>
        <w:rPr>
          <w:rFonts w:ascii="Calibri" w:hAnsi="Calibri" w:cs="Calibri" w:eastAsia="Calibri"/>
          <w:spacing w:val="16"/>
        </w:rPr>
        <w:t> </w:t>
      </w:r>
      <w:r>
        <w:rPr>
          <w:rFonts w:ascii="宋体" w:hAnsi="宋体" w:cs="宋体" w:eastAsia="宋体"/>
        </w:rPr>
        <w:t>万元</w:t>
      </w:r>
    </w:p>
    <w:p>
      <w:pPr>
        <w:spacing w:line="240" w:lineRule="auto" w:before="10"/>
        <w:rPr>
          <w:rFonts w:ascii="宋体" w:hAnsi="宋体" w:cs="宋体" w:eastAsia="宋体"/>
          <w:sz w:val="20"/>
          <w:szCs w:val="20"/>
        </w:rPr>
      </w:pPr>
    </w:p>
    <w:p>
      <w:pPr>
        <w:pStyle w:val="BodyText"/>
        <w:spacing w:line="350" w:lineRule="auto" w:before="0"/>
        <w:ind w:right="114" w:firstLine="559"/>
        <w:jc w:val="left"/>
        <w:rPr>
          <w:rFonts w:ascii="宋体" w:hAnsi="宋体" w:cs="宋体" w:eastAsia="宋体"/>
        </w:rPr>
      </w:pPr>
      <w:r>
        <w:rPr>
          <w:rFonts w:ascii="宋体" w:hAnsi="宋体" w:cs="宋体" w:eastAsia="宋体"/>
          <w:spacing w:val="-3"/>
        </w:rPr>
        <w:t>4、牙鲆鱼养殖示范开发项目中涉及的土地使用权（租金）在评估基准</w:t>
      </w:r>
      <w:r>
        <w:rPr>
          <w:rFonts w:ascii="宋体" w:hAnsi="宋体" w:cs="宋体" w:eastAsia="宋体"/>
          <w:w w:val="100"/>
        </w:rPr>
        <w:t> </w:t>
      </w:r>
      <w:r>
        <w:rPr>
          <w:rFonts w:ascii="宋体" w:hAnsi="宋体" w:cs="宋体" w:eastAsia="宋体"/>
        </w:rPr>
        <w:t>日的评估结果为：</w:t>
      </w:r>
      <w:r>
        <w:rPr>
          <w:rFonts w:ascii="Calibri" w:hAnsi="Calibri" w:cs="Calibri" w:eastAsia="Calibri"/>
        </w:rPr>
        <w:t>20</w:t>
      </w:r>
      <w:r>
        <w:rPr>
          <w:rFonts w:ascii="Calibri" w:hAnsi="Calibri" w:cs="Calibri" w:eastAsia="Calibri"/>
          <w:spacing w:val="-1"/>
        </w:rPr>
        <w:t> </w:t>
      </w:r>
      <w:r>
        <w:rPr>
          <w:rFonts w:ascii="宋体" w:hAnsi="宋体" w:cs="宋体" w:eastAsia="宋体"/>
        </w:rPr>
        <w:t>万元（大写</w:t>
      </w:r>
      <w:r>
        <w:rPr>
          <w:rFonts w:ascii="Microsoft JhengHei" w:hAnsi="Microsoft JhengHei" w:cs="Microsoft JhengHei" w:eastAsia="Microsoft JhengHei"/>
          <w:b/>
          <w:bCs/>
        </w:rPr>
        <w:t>人民币贰拾万元整</w:t>
      </w:r>
      <w:r>
        <w:rPr>
          <w:rFonts w:ascii="宋体" w:hAnsi="宋体" w:cs="宋体" w:eastAsia="宋体"/>
        </w:rPr>
        <w:t>）。</w:t>
      </w:r>
    </w:p>
    <w:p>
      <w:pPr>
        <w:pStyle w:val="Heading3"/>
        <w:spacing w:line="285" w:lineRule="exact"/>
        <w:ind w:left="694" w:right="114" w:hanging="576"/>
        <w:jc w:val="left"/>
        <w:rPr>
          <w:b w:val="0"/>
          <w:bCs w:val="0"/>
        </w:rPr>
      </w:pPr>
      <w:r>
        <w:rPr/>
        <w:t>八</w:t>
      </w:r>
      <w:bookmarkStart w:name="八、评估程序实施过程和情况" w:id="51"/>
      <w:bookmarkEnd w:id="51"/>
      <w:r>
        <w:rPr/>
        <w:t>、</w:t>
      </w:r>
      <w:r>
        <w:rPr/>
        <w:t>评估程序实施过程和情况</w:t>
      </w:r>
      <w:r>
        <w:rPr>
          <w:b w:val="0"/>
          <w:bCs w:val="0"/>
        </w:rPr>
      </w:r>
    </w:p>
    <w:p>
      <w:pPr>
        <w:spacing w:line="240" w:lineRule="auto" w:before="7"/>
        <w:rPr>
          <w:rFonts w:ascii="仿宋" w:hAnsi="仿宋" w:cs="仿宋" w:eastAsia="仿宋"/>
          <w:b/>
          <w:bCs/>
          <w:sz w:val="23"/>
          <w:szCs w:val="23"/>
        </w:rPr>
      </w:pPr>
    </w:p>
    <w:p>
      <w:pPr>
        <w:pStyle w:val="BodyText"/>
        <w:spacing w:line="240" w:lineRule="auto" w:before="0"/>
        <w:ind w:left="694" w:right="114"/>
        <w:jc w:val="left"/>
      </w:pPr>
      <w:r>
        <w:rPr>
          <w:spacing w:val="5"/>
        </w:rPr>
        <w:t>本次评估程序的实施过程和情况如下：</w:t>
      </w:r>
    </w:p>
    <w:p>
      <w:pPr>
        <w:spacing w:line="240" w:lineRule="auto" w:before="9"/>
        <w:rPr>
          <w:rFonts w:ascii="仿宋" w:hAnsi="仿宋" w:cs="仿宋" w:eastAsia="仿宋"/>
          <w:sz w:val="19"/>
          <w:szCs w:val="19"/>
        </w:rPr>
      </w:pPr>
    </w:p>
    <w:p>
      <w:pPr>
        <w:pStyle w:val="BodyText"/>
        <w:spacing w:line="408" w:lineRule="auto" w:before="0"/>
        <w:ind w:left="694" w:right="114" w:hanging="156"/>
        <w:jc w:val="left"/>
      </w:pPr>
      <w:r>
        <w:rPr>
          <w:spacing w:val="5"/>
        </w:rPr>
        <w:t>（一）评估前期准备工作阶段</w:t>
      </w:r>
      <w:r>
        <w:rPr>
          <w:spacing w:val="-109"/>
        </w:rPr>
        <w:t> </w:t>
      </w:r>
      <w:r>
        <w:rPr>
          <w:spacing w:val="-109"/>
        </w:rPr>
      </w:r>
      <w:r>
        <w:rPr>
          <w:spacing w:val="9"/>
        </w:rPr>
        <w:t>本阶段的主要工作是：根据评估工作的需要，向被评估单位布置资</w:t>
      </w:r>
    </w:p>
    <w:p>
      <w:pPr>
        <w:pStyle w:val="BodyText"/>
        <w:spacing w:line="408" w:lineRule="auto"/>
        <w:ind w:right="263"/>
        <w:jc w:val="both"/>
      </w:pPr>
      <w:r>
        <w:rPr>
          <w:spacing w:val="9"/>
        </w:rPr>
        <w:t>产评估申报表，协助被评估单位进行资产申报工作；同时收集资产评估</w:t>
      </w:r>
      <w:r>
        <w:rPr>
          <w:spacing w:val="-61"/>
        </w:rPr>
        <w:t> </w:t>
      </w:r>
      <w:r>
        <w:rPr>
          <w:spacing w:val="-61"/>
        </w:rPr>
      </w:r>
      <w:r>
        <w:rPr>
          <w:spacing w:val="9"/>
        </w:rPr>
        <w:t>所需文件资料，制订资产评估工作计划，并组织专业人员并进行合理分</w:t>
      </w:r>
      <w:r>
        <w:rPr>
          <w:spacing w:val="-61"/>
        </w:rPr>
        <w:t> </w:t>
      </w:r>
      <w:r>
        <w:rPr>
          <w:spacing w:val="-61"/>
        </w:rPr>
      </w:r>
      <w:r>
        <w:rPr>
          <w:spacing w:val="3"/>
        </w:rPr>
        <w:t>工。</w:t>
      </w:r>
    </w:p>
    <w:p>
      <w:pPr>
        <w:pStyle w:val="BodyText"/>
        <w:spacing w:line="240" w:lineRule="auto"/>
        <w:ind w:left="538" w:right="114"/>
        <w:jc w:val="left"/>
      </w:pPr>
      <w:r>
        <w:rPr>
          <w:spacing w:val="5"/>
        </w:rPr>
        <w:t>（二）现场评估阶段</w:t>
      </w:r>
    </w:p>
    <w:p>
      <w:pPr>
        <w:spacing w:after="0" w:line="240" w:lineRule="auto"/>
        <w:jc w:val="left"/>
        <w:sectPr>
          <w:pgSz w:w="11910" w:h="16840"/>
          <w:pgMar w:header="878" w:footer="1196" w:top="1100" w:bottom="1380" w:left="1300" w:right="1160"/>
        </w:sectPr>
      </w:pPr>
    </w:p>
    <w:p>
      <w:pPr>
        <w:spacing w:line="240" w:lineRule="auto" w:before="0"/>
        <w:rPr>
          <w:rFonts w:ascii="仿宋" w:hAnsi="仿宋" w:cs="仿宋" w:eastAsia="仿宋"/>
          <w:sz w:val="20"/>
          <w:szCs w:val="20"/>
        </w:rPr>
      </w:pPr>
    </w:p>
    <w:p>
      <w:pPr>
        <w:pStyle w:val="BodyText"/>
        <w:spacing w:line="408" w:lineRule="auto" w:before="146"/>
        <w:ind w:right="0" w:firstLine="576"/>
        <w:jc w:val="left"/>
      </w:pPr>
      <w:r>
        <w:rPr>
          <w:spacing w:val="9"/>
        </w:rPr>
        <w:t>根据资产评估的有关原则和规定，对评估范围内的资产进行了评估</w:t>
      </w:r>
      <w:r>
        <w:rPr>
          <w:w w:val="100"/>
        </w:rPr>
        <w:t> </w:t>
      </w:r>
      <w:r>
        <w:rPr>
          <w:spacing w:val="5"/>
        </w:rPr>
        <w:t>和产权界定，具体步骤如下：</w:t>
      </w:r>
    </w:p>
    <w:p>
      <w:pPr>
        <w:pStyle w:val="BodyText"/>
        <w:spacing w:line="240" w:lineRule="auto"/>
        <w:ind w:left="694" w:right="0"/>
        <w:jc w:val="left"/>
      </w:pPr>
      <w:r>
        <w:rPr>
          <w:rFonts w:ascii="Calibri" w:hAnsi="Calibri" w:cs="Calibri" w:eastAsia="Calibri"/>
          <w:spacing w:val="5"/>
        </w:rPr>
        <w:t>1</w:t>
      </w:r>
      <w:r>
        <w:rPr>
          <w:spacing w:val="5"/>
        </w:rPr>
        <w:t>．了解被评估单位情况以及委估资产历史和现状；</w:t>
      </w:r>
    </w:p>
    <w:p>
      <w:pPr>
        <w:pStyle w:val="BodyText"/>
        <w:spacing w:line="372" w:lineRule="auto" w:before="221"/>
        <w:ind w:right="0" w:firstLine="576"/>
        <w:jc w:val="left"/>
      </w:pPr>
      <w:r>
        <w:rPr>
          <w:rFonts w:ascii="Calibri" w:hAnsi="Calibri" w:cs="Calibri" w:eastAsia="Calibri"/>
          <w:spacing w:val="5"/>
        </w:rPr>
        <w:t>2</w:t>
      </w:r>
      <w:r>
        <w:rPr>
          <w:spacing w:val="5"/>
        </w:rPr>
        <w:t>．根据委估的内容到现场进行实地核实，并对资产状况进行查勘、</w:t>
      </w:r>
      <w:r>
        <w:rPr>
          <w:w w:val="100"/>
        </w:rPr>
        <w:t> </w:t>
      </w:r>
      <w:r>
        <w:rPr>
          <w:spacing w:val="5"/>
        </w:rPr>
        <w:t>记录；并与资产管理人员进行交谈，了解资产的经营、管理状况；</w:t>
      </w:r>
    </w:p>
    <w:p>
      <w:pPr>
        <w:pStyle w:val="BodyText"/>
        <w:spacing w:line="240" w:lineRule="auto" w:before="103"/>
        <w:ind w:left="694" w:right="0"/>
        <w:jc w:val="left"/>
      </w:pPr>
      <w:r>
        <w:rPr>
          <w:rFonts w:ascii="Calibri" w:hAnsi="Calibri" w:cs="Calibri" w:eastAsia="Calibri"/>
          <w:spacing w:val="5"/>
        </w:rPr>
        <w:t>3</w:t>
      </w:r>
      <w:r>
        <w:rPr>
          <w:spacing w:val="5"/>
        </w:rPr>
        <w:t>．根据委估资产的实际状况和特点，制订具体评估方法；</w:t>
      </w:r>
    </w:p>
    <w:p>
      <w:pPr>
        <w:pStyle w:val="BodyText"/>
        <w:spacing w:line="240" w:lineRule="auto" w:before="221"/>
        <w:ind w:left="694" w:right="0"/>
        <w:jc w:val="left"/>
      </w:pPr>
      <w:r>
        <w:rPr>
          <w:rFonts w:ascii="Calibri" w:hAnsi="Calibri" w:cs="Calibri" w:eastAsia="Calibri"/>
          <w:spacing w:val="5"/>
        </w:rPr>
        <w:t>4</w:t>
      </w:r>
      <w:r>
        <w:rPr>
          <w:spacing w:val="5"/>
        </w:rPr>
        <w:t>．查阅委估资产的产权证明文件；</w:t>
      </w:r>
    </w:p>
    <w:p>
      <w:pPr>
        <w:pStyle w:val="BodyText"/>
        <w:spacing w:line="408" w:lineRule="auto" w:before="221"/>
        <w:ind w:left="694" w:right="0" w:hanging="156"/>
        <w:jc w:val="left"/>
      </w:pPr>
      <w:r>
        <w:rPr>
          <w:spacing w:val="5"/>
        </w:rPr>
        <w:t>（三）评估汇总阶段</w:t>
      </w:r>
      <w:r>
        <w:rPr>
          <w:spacing w:val="-121"/>
        </w:rPr>
        <w:t> </w:t>
      </w:r>
      <w:r>
        <w:rPr>
          <w:spacing w:val="-121"/>
        </w:rPr>
      </w:r>
      <w:r>
        <w:rPr>
          <w:spacing w:val="10"/>
        </w:rPr>
        <w:t>根据各专业组对委估资产的初步评估结果，进行汇总分析工作，确</w:t>
      </w:r>
    </w:p>
    <w:p>
      <w:pPr>
        <w:pStyle w:val="BodyText"/>
        <w:spacing w:line="408" w:lineRule="auto"/>
        <w:ind w:right="0"/>
        <w:jc w:val="left"/>
      </w:pPr>
      <w:r>
        <w:rPr>
          <w:spacing w:val="9"/>
        </w:rPr>
        <w:t>认评估工作中没有发生重评和漏评的情况，并根据汇总分析情况，对资</w:t>
      </w:r>
      <w:r>
        <w:rPr>
          <w:spacing w:val="-61"/>
        </w:rPr>
        <w:t> </w:t>
      </w:r>
      <w:r>
        <w:rPr>
          <w:spacing w:val="-61"/>
        </w:rPr>
      </w:r>
      <w:r>
        <w:rPr>
          <w:spacing w:val="5"/>
        </w:rPr>
        <w:t>产评估结果进行调整、修改和完善。</w:t>
      </w:r>
    </w:p>
    <w:p>
      <w:pPr>
        <w:pStyle w:val="BodyText"/>
        <w:spacing w:line="408" w:lineRule="auto"/>
        <w:ind w:left="694" w:right="0" w:hanging="156"/>
        <w:jc w:val="left"/>
      </w:pPr>
      <w:r>
        <w:rPr>
          <w:spacing w:val="5"/>
        </w:rPr>
        <w:t>（四）提交报告阶段</w:t>
      </w:r>
      <w:r>
        <w:rPr>
          <w:spacing w:val="-121"/>
        </w:rPr>
        <w:t> </w:t>
      </w:r>
      <w:r>
        <w:rPr>
          <w:spacing w:val="-121"/>
        </w:rPr>
      </w:r>
      <w:r>
        <w:rPr>
          <w:spacing w:val="9"/>
        </w:rPr>
        <w:t>根据评估工作情况，起草资产价值资产评估报告书，向委托方提交</w:t>
      </w:r>
    </w:p>
    <w:p>
      <w:pPr>
        <w:pStyle w:val="BodyText"/>
        <w:spacing w:line="240" w:lineRule="auto"/>
        <w:ind w:right="0"/>
        <w:jc w:val="left"/>
      </w:pPr>
      <w:r>
        <w:rPr>
          <w:spacing w:val="9"/>
        </w:rPr>
        <w:t>资产评估报告书初稿，根据委托方意见，进行必要的修改，在经委托方</w:t>
      </w:r>
    </w:p>
    <w:p>
      <w:pPr>
        <w:spacing w:line="240" w:lineRule="auto" w:before="9"/>
        <w:rPr>
          <w:rFonts w:ascii="仿宋" w:hAnsi="仿宋" w:cs="仿宋" w:eastAsia="仿宋"/>
          <w:sz w:val="19"/>
          <w:szCs w:val="19"/>
        </w:rPr>
      </w:pPr>
    </w:p>
    <w:p>
      <w:pPr>
        <w:pStyle w:val="BodyText"/>
        <w:spacing w:line="321" w:lineRule="auto" w:before="0"/>
        <w:ind w:right="113"/>
        <w:jc w:val="left"/>
        <w:rPr>
          <w:rFonts w:ascii="仿宋" w:hAnsi="仿宋" w:cs="仿宋" w:eastAsia="仿宋"/>
        </w:rPr>
      </w:pPr>
      <w:r>
        <w:rPr>
          <w:spacing w:val="5"/>
        </w:rPr>
        <w:t>确认无误后，向委托方提交正式资产价值资产评估报告书。</w:t>
      </w:r>
      <w:r>
        <w:rPr>
          <w:spacing w:val="-70"/>
        </w:rPr>
        <w:t> </w:t>
      </w:r>
      <w:r>
        <w:rPr>
          <w:spacing w:val="-70"/>
        </w:rPr>
      </w:r>
      <w:r>
        <w:rPr>
          <w:rFonts w:ascii="仿宋" w:hAnsi="仿宋" w:cs="仿宋" w:eastAsia="仿宋"/>
          <w:b/>
          <w:bCs/>
        </w:rPr>
        <w:t>九</w:t>
      </w:r>
      <w:bookmarkStart w:name="九、评估假设" w:id="52"/>
      <w:bookmarkEnd w:id="52"/>
      <w:r>
        <w:rPr>
          <w:rFonts w:ascii="仿宋" w:hAnsi="仿宋" w:cs="仿宋" w:eastAsia="仿宋"/>
          <w:b/>
          <w:bCs/>
        </w:rPr>
      </w:r>
      <w:bookmarkStart w:name="_bookmark11" w:id="53"/>
      <w:bookmarkEnd w:id="53"/>
      <w:r>
        <w:rPr>
          <w:rFonts w:ascii="仿宋" w:hAnsi="仿宋" w:cs="仿宋" w:eastAsia="仿宋"/>
          <w:b/>
          <w:bCs/>
        </w:rPr>
        <w:t>、</w:t>
      </w:r>
      <w:r>
        <w:rPr>
          <w:rFonts w:ascii="仿宋" w:hAnsi="仿宋" w:cs="仿宋" w:eastAsia="仿宋"/>
          <w:b/>
          <w:bCs/>
        </w:rPr>
        <w:t>评估假设</w:t>
      </w:r>
      <w:r>
        <w:rPr>
          <w:rFonts w:ascii="仿宋" w:hAnsi="仿宋" w:cs="仿宋" w:eastAsia="仿宋"/>
        </w:rPr>
      </w:r>
    </w:p>
    <w:p>
      <w:pPr>
        <w:pStyle w:val="BodyText"/>
        <w:spacing w:line="333" w:lineRule="auto" w:before="83"/>
        <w:ind w:right="0" w:firstLine="559"/>
        <w:jc w:val="left"/>
      </w:pPr>
      <w:r>
        <w:rPr>
          <w:rFonts w:ascii="Calibri" w:hAnsi="Calibri" w:cs="Calibri" w:eastAsia="Calibri"/>
          <w:spacing w:val="-3"/>
          <w:position w:val="1"/>
        </w:rPr>
        <w:t>1</w:t>
      </w:r>
      <w:r>
        <w:rPr>
          <w:spacing w:val="-3"/>
        </w:rPr>
        <w:t>．假设委托评估资产已经处在交易过程中，评估师根据待评估资产的</w:t>
      </w:r>
      <w:r>
        <w:rPr>
          <w:w w:val="100"/>
        </w:rPr>
        <w:t> </w:t>
      </w:r>
      <w:r>
        <w:rPr/>
        <w:t>交易条件等模拟市场进行估价；</w:t>
      </w:r>
    </w:p>
    <w:p>
      <w:pPr>
        <w:pStyle w:val="BodyText"/>
        <w:spacing w:line="240" w:lineRule="auto" w:before="199"/>
        <w:ind w:left="677" w:right="0"/>
        <w:jc w:val="left"/>
      </w:pPr>
      <w:r>
        <w:rPr>
          <w:rFonts w:ascii="Calibri" w:hAnsi="Calibri" w:cs="Calibri" w:eastAsia="Calibri"/>
        </w:rPr>
        <w:t>2</w:t>
      </w:r>
      <w:r>
        <w:rPr/>
        <w:t>．假设委托评估资产的市场是一个竞争性的公开市场；</w:t>
      </w:r>
    </w:p>
    <w:p>
      <w:pPr>
        <w:pStyle w:val="BodyText"/>
        <w:spacing w:line="240" w:lineRule="auto" w:before="221"/>
        <w:ind w:left="677" w:right="0"/>
        <w:jc w:val="left"/>
      </w:pPr>
      <w:r>
        <w:rPr>
          <w:rFonts w:ascii="Calibri" w:hAnsi="Calibri" w:cs="Calibri" w:eastAsia="Calibri"/>
        </w:rPr>
        <w:t>3</w:t>
      </w:r>
      <w:r>
        <w:rPr/>
        <w:t>．假设被评估资产现有用途不变并原地持续经营使用；</w:t>
      </w:r>
    </w:p>
    <w:p>
      <w:pPr>
        <w:pStyle w:val="BodyText"/>
        <w:spacing w:line="372" w:lineRule="auto" w:before="221"/>
        <w:ind w:right="0" w:firstLine="559"/>
        <w:jc w:val="left"/>
      </w:pPr>
      <w:r>
        <w:rPr>
          <w:rFonts w:ascii="Calibri" w:hAnsi="Calibri" w:cs="Calibri" w:eastAsia="Calibri"/>
          <w:spacing w:val="6"/>
        </w:rPr>
        <w:t>4</w:t>
      </w:r>
      <w:r>
        <w:rPr>
          <w:spacing w:val="6"/>
        </w:rPr>
        <w:t>．假设被评估单位未来所采取的会计政策和编写本评估报告时采用</w:t>
      </w:r>
      <w:r>
        <w:rPr>
          <w:w w:val="100"/>
        </w:rPr>
        <w:t> </w:t>
      </w:r>
      <w:r>
        <w:rPr/>
        <w:t>的会计政策在重要方面基本一致；</w:t>
      </w:r>
    </w:p>
    <w:p>
      <w:pPr>
        <w:spacing w:after="0" w:line="372"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372" w:lineRule="auto" w:before="146"/>
        <w:ind w:right="224" w:firstLine="559"/>
        <w:jc w:val="both"/>
      </w:pPr>
      <w:r>
        <w:rPr>
          <w:rFonts w:ascii="Calibri" w:hAnsi="Calibri" w:cs="Calibri" w:eastAsia="Calibri"/>
          <w:spacing w:val="-2"/>
        </w:rPr>
        <w:t>5</w:t>
      </w:r>
      <w:r>
        <w:rPr>
          <w:spacing w:val="-2"/>
        </w:rPr>
        <w:t>．假设被评估单位遵守相关法律法规，经营管理和技术骨干有能力、</w:t>
      </w:r>
      <w:r>
        <w:rPr>
          <w:w w:val="100"/>
        </w:rPr>
        <w:t> </w:t>
      </w:r>
      <w:r>
        <w:rPr/>
        <w:t>负责任地担负其职责，并保持相对稳定；</w:t>
      </w:r>
    </w:p>
    <w:p>
      <w:pPr>
        <w:pStyle w:val="BodyText"/>
        <w:spacing w:line="372" w:lineRule="auto" w:before="103"/>
        <w:ind w:right="224" w:firstLine="559"/>
        <w:jc w:val="both"/>
      </w:pPr>
      <w:r>
        <w:rPr>
          <w:rFonts w:ascii="Calibri" w:hAnsi="Calibri" w:cs="Calibri" w:eastAsia="Calibri"/>
          <w:spacing w:val="-2"/>
        </w:rPr>
        <w:t>6</w:t>
      </w:r>
      <w:r>
        <w:rPr>
          <w:spacing w:val="-2"/>
        </w:rPr>
        <w:t>．假设被评估单位持续经营，其管理方式及水平、经营方向和范围，</w:t>
      </w:r>
      <w:r>
        <w:rPr>
          <w:w w:val="100"/>
        </w:rPr>
        <w:t> </w:t>
      </w:r>
      <w:r>
        <w:rPr/>
        <w:t>与评估基准日基本一致；</w:t>
      </w:r>
    </w:p>
    <w:p>
      <w:pPr>
        <w:pStyle w:val="BodyText"/>
        <w:spacing w:line="372" w:lineRule="auto" w:before="103"/>
        <w:ind w:right="253" w:firstLine="559"/>
        <w:jc w:val="both"/>
      </w:pPr>
      <w:r>
        <w:rPr>
          <w:rFonts w:ascii="Calibri" w:hAnsi="Calibri" w:cs="Calibri" w:eastAsia="Calibri"/>
          <w:spacing w:val="-3"/>
        </w:rPr>
        <w:t>7</w:t>
      </w:r>
      <w:r>
        <w:rPr>
          <w:spacing w:val="-3"/>
        </w:rPr>
        <w:t>．假设有关利率、汇率、赋税基准及税率、政策性征收费用等不发生</w:t>
      </w:r>
      <w:r>
        <w:rPr>
          <w:w w:val="100"/>
        </w:rPr>
        <w:t> </w:t>
      </w:r>
      <w:r>
        <w:rPr/>
        <w:t>重大变化；</w:t>
      </w:r>
    </w:p>
    <w:p>
      <w:pPr>
        <w:pStyle w:val="BodyText"/>
        <w:spacing w:line="372" w:lineRule="auto" w:before="103"/>
        <w:ind w:right="255" w:firstLine="559"/>
        <w:jc w:val="both"/>
      </w:pPr>
      <w:r>
        <w:rPr>
          <w:rFonts w:ascii="Calibri" w:hAnsi="Calibri" w:cs="Calibri" w:eastAsia="Calibri"/>
          <w:spacing w:val="-3"/>
        </w:rPr>
        <w:t>8</w:t>
      </w:r>
      <w:r>
        <w:rPr>
          <w:spacing w:val="-3"/>
        </w:rPr>
        <w:t>．假设国家现行的有关法律法规及政策、国家宏观经济形势无重大变</w:t>
      </w:r>
      <w:r>
        <w:rPr>
          <w:w w:val="100"/>
        </w:rPr>
        <w:t> </w:t>
      </w:r>
      <w:r>
        <w:rPr/>
        <w:t>化，本次交易各方所处地区的政治、经济和社会环境无重大变化；</w:t>
      </w:r>
    </w:p>
    <w:p>
      <w:pPr>
        <w:pStyle w:val="BodyText"/>
        <w:spacing w:line="240" w:lineRule="auto" w:before="103"/>
        <w:ind w:left="677" w:right="114"/>
        <w:jc w:val="left"/>
      </w:pPr>
      <w:r>
        <w:rPr>
          <w:rFonts w:ascii="Calibri" w:hAnsi="Calibri" w:cs="Calibri" w:eastAsia="Calibri"/>
        </w:rPr>
        <w:t>9</w:t>
      </w:r>
      <w:r>
        <w:rPr/>
        <w:t>．无其他人力不可抗拒及不可预见因素造成的重大不利影响。</w:t>
      </w:r>
    </w:p>
    <w:p>
      <w:pPr>
        <w:pStyle w:val="BodyText"/>
        <w:spacing w:line="372" w:lineRule="auto" w:before="221"/>
        <w:ind w:right="253" w:firstLine="559"/>
        <w:jc w:val="both"/>
      </w:pPr>
      <w:r>
        <w:rPr>
          <w:rFonts w:ascii="Calibri" w:hAnsi="Calibri" w:cs="Calibri" w:eastAsia="Calibri"/>
          <w:spacing w:val="10"/>
        </w:rPr>
        <w:t>10</w:t>
      </w:r>
      <w:r>
        <w:rPr>
          <w:spacing w:val="10"/>
        </w:rPr>
        <w:t>．当上述假定条件以及评估中所遵循的原则等其他情况发生变化</w:t>
      </w:r>
      <w:r>
        <w:rPr>
          <w:w w:val="100"/>
        </w:rPr>
        <w:t> </w:t>
      </w:r>
      <w:r>
        <w:rPr/>
        <w:t>时，评估结果一般会失效。</w:t>
      </w:r>
    </w:p>
    <w:p>
      <w:pPr>
        <w:pStyle w:val="Heading3"/>
        <w:spacing w:line="338" w:lineRule="exact"/>
        <w:ind w:left="118" w:right="114"/>
        <w:jc w:val="left"/>
        <w:rPr>
          <w:b w:val="0"/>
          <w:bCs w:val="0"/>
        </w:rPr>
      </w:pPr>
      <w:r>
        <w:rPr/>
        <w:t>十</w:t>
      </w:r>
      <w:bookmarkStart w:name="十、评估结论" w:id="54"/>
      <w:bookmarkEnd w:id="54"/>
      <w:r>
        <w:rPr/>
      </w:r>
      <w:bookmarkStart w:name="_bookmark12" w:id="55"/>
      <w:bookmarkEnd w:id="55"/>
      <w:r>
        <w:rPr/>
        <w:t>、</w:t>
      </w:r>
      <w:r>
        <w:rPr/>
        <w:t>评估结论</w:t>
      </w:r>
      <w:r>
        <w:rPr>
          <w:b w:val="0"/>
          <w:bCs w:val="0"/>
        </w:rPr>
      </w:r>
    </w:p>
    <w:p>
      <w:pPr>
        <w:spacing w:line="240" w:lineRule="auto" w:before="7"/>
        <w:rPr>
          <w:rFonts w:ascii="仿宋" w:hAnsi="仿宋" w:cs="仿宋" w:eastAsia="仿宋"/>
          <w:b/>
          <w:bCs/>
          <w:sz w:val="23"/>
          <w:szCs w:val="23"/>
        </w:rPr>
      </w:pPr>
    </w:p>
    <w:p>
      <w:pPr>
        <w:pStyle w:val="BodyText"/>
        <w:tabs>
          <w:tab w:pos="7512" w:val="left" w:leader="none"/>
        </w:tabs>
        <w:spacing w:line="240" w:lineRule="auto" w:before="0"/>
        <w:ind w:left="677" w:right="114"/>
        <w:jc w:val="left"/>
      </w:pPr>
      <w:r>
        <w:rPr/>
        <w:pict>
          <v:shape style="position:absolute;margin-left:305.299988pt;margin-top:-3.757446pt;width:136.1pt;height:133.550pt;mso-position-horizontal-relative:page;mso-position-vertical-relative:paragraph;z-index:-35728" type="#_x0000_t202" filled="false" stroked="false">
            <v:textbox inset="0,0,0,0">
              <w:txbxContent>
                <w:p>
                  <w:pPr>
                    <w:pStyle w:val="BodyText"/>
                    <w:spacing w:line="240" w:lineRule="auto" w:before="75"/>
                    <w:ind w:left="61" w:right="0"/>
                    <w:jc w:val="left"/>
                  </w:pPr>
                  <w:r>
                    <w:rPr>
                      <w:w w:val="100"/>
                    </w:rPr>
                    <w:t>为</w:t>
                  </w:r>
                  <w:r>
                    <w:rPr>
                      <w:spacing w:val="-73"/>
                    </w:rPr>
                    <w:t> </w:t>
                  </w:r>
                  <w:r>
                    <w:rPr>
                      <w:rFonts w:ascii="Calibri" w:hAnsi="Calibri" w:cs="Calibri" w:eastAsia="Calibri"/>
                      <w:spacing w:val="-1"/>
                      <w:w w:val="100"/>
                    </w:rPr>
                    <w:t>49888</w:t>
                  </w:r>
                  <w:r>
                    <w:rPr>
                      <w:rFonts w:ascii="Calibri" w:hAnsi="Calibri" w:cs="Calibri" w:eastAsia="Calibri"/>
                      <w:w w:val="100"/>
                    </w:rPr>
                    <w:t>2</w:t>
                  </w:r>
                  <w:r>
                    <w:rPr>
                      <w:rFonts w:ascii="Calibri" w:hAnsi="Calibri" w:cs="Calibri" w:eastAsia="Calibri"/>
                      <w:spacing w:val="10"/>
                    </w:rPr>
                    <w:t> </w:t>
                  </w:r>
                  <w:r>
                    <w:rPr>
                      <w:spacing w:val="-3"/>
                      <w:w w:val="100"/>
                    </w:rPr>
                    <w:t>元</w:t>
                  </w:r>
                  <w:r>
                    <w:rPr>
                      <w:spacing w:val="-15"/>
                      <w:w w:val="100"/>
                    </w:rPr>
                    <w:t>，</w:t>
                  </w:r>
                  <w:r>
                    <w:rPr>
                      <w:spacing w:val="-1"/>
                      <w:w w:val="100"/>
                    </w:rPr>
                    <w:t>大写</w:t>
                  </w:r>
                  <w:r>
                    <w:rPr>
                      <w:w w:val="100"/>
                    </w:rPr>
                    <w:t>：</w:t>
                  </w:r>
                </w:p>
                <w:p>
                  <w:pPr>
                    <w:pStyle w:val="BodyText"/>
                    <w:spacing w:line="240" w:lineRule="auto" w:before="221"/>
                    <w:ind w:left="97" w:right="0"/>
                    <w:jc w:val="left"/>
                  </w:pPr>
                  <w:r>
                    <w:rPr>
                      <w:rFonts w:ascii="Calibri" w:hAnsi="Calibri" w:cs="Calibri" w:eastAsia="Calibri"/>
                      <w:spacing w:val="-1"/>
                      <w:w w:val="100"/>
                    </w:rPr>
                    <w:t>12475</w:t>
                  </w:r>
                  <w:r>
                    <w:rPr>
                      <w:rFonts w:ascii="Calibri" w:hAnsi="Calibri" w:cs="Calibri" w:eastAsia="Calibri"/>
                      <w:w w:val="100"/>
                    </w:rPr>
                    <w:t>2</w:t>
                  </w:r>
                  <w:r>
                    <w:rPr>
                      <w:rFonts w:ascii="Calibri" w:hAnsi="Calibri" w:cs="Calibri" w:eastAsia="Calibri"/>
                      <w:spacing w:val="7"/>
                    </w:rPr>
                    <w:t> </w:t>
                  </w:r>
                  <w:r>
                    <w:rPr>
                      <w:w w:val="100"/>
                    </w:rPr>
                    <w:t>元</w:t>
                  </w:r>
                  <w:r>
                    <w:rPr>
                      <w:spacing w:val="1"/>
                    </w:rPr>
                    <w:t> </w:t>
                  </w:r>
                  <w:r>
                    <w:rPr>
                      <w:spacing w:val="-73"/>
                      <w:w w:val="100"/>
                    </w:rPr>
                    <w:t>；</w:t>
                  </w:r>
                  <w:r>
                    <w:rPr>
                      <w:rFonts w:ascii="Calibri" w:hAnsi="Calibri" w:cs="Calibri" w:eastAsia="Calibri"/>
                      <w:spacing w:val="-1"/>
                      <w:w w:val="100"/>
                    </w:rPr>
                    <w:t>2</w:t>
                  </w:r>
                  <w:r>
                    <w:rPr>
                      <w:rFonts w:ascii="Calibri" w:hAnsi="Calibri" w:cs="Calibri" w:eastAsia="Calibri"/>
                      <w:spacing w:val="-2"/>
                      <w:w w:val="100"/>
                    </w:rPr>
                    <w:t>.</w:t>
                  </w:r>
                  <w:r>
                    <w:rPr>
                      <w:spacing w:val="-1"/>
                      <w:w w:val="100"/>
                    </w:rPr>
                    <w:t>机器</w:t>
                  </w:r>
                  <w:r>
                    <w:rPr>
                      <w:w w:val="100"/>
                    </w:rPr>
                    <w:t>设</w:t>
                  </w:r>
                </w:p>
              </w:txbxContent>
            </v:textbox>
            <w10:wrap type="none"/>
          </v:shape>
        </w:pict>
      </w:r>
      <w:r>
        <w:rPr/>
        <w:pict>
          <v:shape style="position:absolute;margin-left:305.299988pt;margin-top:-3.757446pt;width:133.550pt;height:133.550pt;mso-position-horizontal-relative:page;mso-position-vertical-relative:paragraph;z-index:-35704" type="#_x0000_t75" stroked="false">
            <v:imagedata r:id="rId7" o:title=""/>
          </v:shape>
        </w:pict>
      </w:r>
      <w:r>
        <w:rPr>
          <w:spacing w:val="-3"/>
        </w:rPr>
        <w:t>经评定估算，确定本项目评估价值</w:t>
        <w:tab/>
      </w:r>
      <w:r>
        <w:rPr/>
        <w:t>肆拾玖万捌仟</w:t>
      </w:r>
    </w:p>
    <w:p>
      <w:pPr>
        <w:spacing w:line="240" w:lineRule="auto" w:before="9"/>
        <w:rPr>
          <w:rFonts w:ascii="仿宋" w:hAnsi="仿宋" w:cs="仿宋" w:eastAsia="仿宋"/>
          <w:sz w:val="19"/>
          <w:szCs w:val="19"/>
        </w:rPr>
      </w:pPr>
    </w:p>
    <w:p>
      <w:pPr>
        <w:pStyle w:val="BodyText"/>
        <w:tabs>
          <w:tab w:pos="7510" w:val="left" w:leader="none"/>
        </w:tabs>
        <w:spacing w:line="240" w:lineRule="auto" w:before="0"/>
        <w:ind w:right="0"/>
        <w:jc w:val="left"/>
      </w:pPr>
      <w:r>
        <w:rPr/>
        <w:t>捌佰捌拾贰元整</w:t>
      </w:r>
      <w:r>
        <w:rPr>
          <w:rFonts w:ascii="Calibri" w:hAnsi="Calibri" w:cs="Calibri" w:eastAsia="Calibri"/>
        </w:rPr>
        <w:t>(</w:t>
      </w:r>
      <w:r>
        <w:rPr/>
        <w:t>其中： </w:t>
      </w:r>
      <w:r>
        <w:rPr>
          <w:rFonts w:ascii="Calibri" w:hAnsi="Calibri" w:cs="Calibri" w:eastAsia="Calibri"/>
        </w:rPr>
        <w:t>1.</w:t>
      </w:r>
      <w:r>
        <w:rPr>
          <w:rFonts w:ascii="Calibri" w:hAnsi="Calibri" w:cs="Calibri" w:eastAsia="Calibri"/>
          <w:spacing w:val="4"/>
        </w:rPr>
        <w:t> </w:t>
      </w:r>
      <w:r>
        <w:rPr/>
        <w:t>房屋建筑物</w:t>
        <w:tab/>
        <w:t>备</w:t>
      </w:r>
      <w:r>
        <w:rPr>
          <w:spacing w:val="-72"/>
        </w:rPr>
        <w:t> </w:t>
      </w:r>
      <w:r>
        <w:rPr>
          <w:rFonts w:ascii="Calibri" w:hAnsi="Calibri" w:cs="Calibri" w:eastAsia="Calibri"/>
        </w:rPr>
        <w:t>174130</w:t>
      </w:r>
      <w:r>
        <w:rPr>
          <w:rFonts w:ascii="Calibri" w:hAnsi="Calibri" w:cs="Calibri" w:eastAsia="Calibri"/>
          <w:spacing w:val="6"/>
        </w:rPr>
        <w:t> </w:t>
      </w:r>
      <w:r>
        <w:rPr/>
        <w:t>元；</w:t>
      </w:r>
    </w:p>
    <w:p>
      <w:pPr>
        <w:spacing w:line="295" w:lineRule="auto" w:before="221"/>
        <w:ind w:left="118" w:right="2883" w:firstLine="0"/>
        <w:jc w:val="left"/>
        <w:rPr>
          <w:rFonts w:ascii="仿宋" w:hAnsi="仿宋" w:cs="仿宋" w:eastAsia="仿宋"/>
          <w:sz w:val="28"/>
          <w:szCs w:val="28"/>
        </w:rPr>
      </w:pPr>
      <w:r>
        <w:rPr>
          <w:rFonts w:ascii="Calibri" w:hAnsi="Calibri" w:cs="Calibri" w:eastAsia="Calibri"/>
          <w:sz w:val="28"/>
          <w:szCs w:val="28"/>
        </w:rPr>
        <w:t>3 </w:t>
      </w:r>
      <w:r>
        <w:rPr>
          <w:rFonts w:ascii="仿宋" w:hAnsi="仿宋" w:cs="仿宋" w:eastAsia="仿宋"/>
          <w:sz w:val="28"/>
          <w:szCs w:val="28"/>
        </w:rPr>
        <w:t>土地使用权（租金）</w:t>
      </w:r>
      <w:r>
        <w:rPr>
          <w:rFonts w:ascii="Calibri" w:hAnsi="Calibri" w:cs="Calibri" w:eastAsia="Calibri"/>
          <w:sz w:val="28"/>
          <w:szCs w:val="28"/>
        </w:rPr>
        <w:t>200000</w:t>
      </w:r>
      <w:r>
        <w:rPr>
          <w:rFonts w:ascii="Calibri" w:hAnsi="Calibri" w:cs="Calibri" w:eastAsia="Calibri"/>
          <w:spacing w:val="10"/>
          <w:sz w:val="28"/>
          <w:szCs w:val="28"/>
        </w:rPr>
        <w:t> </w:t>
      </w:r>
      <w:r>
        <w:rPr>
          <w:rFonts w:ascii="仿宋" w:hAnsi="仿宋" w:cs="仿宋" w:eastAsia="仿宋"/>
          <w:sz w:val="28"/>
          <w:szCs w:val="28"/>
        </w:rPr>
        <w:t>元</w:t>
      </w:r>
      <w:r>
        <w:rPr>
          <w:rFonts w:ascii="Calibri" w:hAnsi="Calibri" w:cs="Calibri" w:eastAsia="Calibri"/>
          <w:sz w:val="28"/>
          <w:szCs w:val="28"/>
        </w:rPr>
        <w:t>)</w:t>
      </w:r>
      <w:r>
        <w:rPr>
          <w:rFonts w:ascii="仿宋" w:hAnsi="仿宋" w:cs="仿宋" w:eastAsia="仿宋"/>
          <w:sz w:val="28"/>
          <w:szCs w:val="28"/>
        </w:rPr>
        <w:t>。</w:t>
      </w:r>
      <w:r>
        <w:rPr>
          <w:rFonts w:ascii="仿宋" w:hAnsi="仿宋" w:cs="仿宋" w:eastAsia="仿宋"/>
          <w:w w:val="100"/>
          <w:sz w:val="28"/>
          <w:szCs w:val="28"/>
        </w:rPr>
        <w:t> </w:t>
      </w:r>
      <w:r>
        <w:rPr>
          <w:rFonts w:ascii="仿宋" w:hAnsi="仿宋" w:cs="仿宋" w:eastAsia="仿宋"/>
          <w:b/>
          <w:bCs/>
          <w:sz w:val="28"/>
          <w:szCs w:val="28"/>
        </w:rPr>
        <w:t>十一、</w:t>
      </w:r>
      <w:bookmarkStart w:name="十一、特别事项说明" w:id="56"/>
      <w:bookmarkEnd w:id="56"/>
      <w:r>
        <w:rPr>
          <w:rFonts w:ascii="仿宋" w:hAnsi="仿宋" w:cs="仿宋" w:eastAsia="仿宋"/>
          <w:b/>
          <w:bCs/>
          <w:sz w:val="28"/>
          <w:szCs w:val="28"/>
        </w:rPr>
      </w:r>
      <w:bookmarkStart w:name="_bookmark13" w:id="57"/>
      <w:bookmarkEnd w:id="57"/>
      <w:r>
        <w:rPr>
          <w:rFonts w:ascii="仿宋" w:hAnsi="仿宋" w:cs="仿宋" w:eastAsia="仿宋"/>
          <w:b/>
          <w:bCs/>
          <w:sz w:val="28"/>
          <w:szCs w:val="28"/>
        </w:rPr>
        <w:t>特</w:t>
      </w:r>
      <w:r>
        <w:rPr>
          <w:rFonts w:ascii="仿宋" w:hAnsi="仿宋" w:cs="仿宋" w:eastAsia="仿宋"/>
          <w:b/>
          <w:bCs/>
          <w:sz w:val="28"/>
          <w:szCs w:val="28"/>
        </w:rPr>
        <w:t>别事项说明</w:t>
      </w:r>
      <w:r>
        <w:rPr>
          <w:rFonts w:ascii="仿宋" w:hAnsi="仿宋" w:cs="仿宋" w:eastAsia="仿宋"/>
          <w:sz w:val="28"/>
          <w:szCs w:val="28"/>
        </w:rPr>
      </w:r>
    </w:p>
    <w:p>
      <w:pPr>
        <w:pStyle w:val="BodyText"/>
        <w:spacing w:line="391" w:lineRule="auto" w:before="243"/>
        <w:ind w:right="253" w:firstLine="559"/>
        <w:jc w:val="both"/>
      </w:pPr>
      <w:r>
        <w:rPr>
          <w:rFonts w:ascii="Calibri" w:hAnsi="Calibri" w:cs="Calibri" w:eastAsia="Calibri"/>
          <w:spacing w:val="-3"/>
        </w:rPr>
        <w:t>1</w:t>
      </w:r>
      <w:r>
        <w:rPr>
          <w:spacing w:val="-3"/>
        </w:rPr>
        <w:t>．对存在的可能影响评估对象价值的瑕疵事项，在委托方委托时未作</w:t>
      </w:r>
      <w:r>
        <w:rPr>
          <w:w w:val="100"/>
        </w:rPr>
        <w:t> </w:t>
      </w:r>
      <w:r>
        <w:rPr>
          <w:spacing w:val="2"/>
        </w:rPr>
        <w:t>特殊说明，而评估人员根据专业经验一般不能获悉的情况下，本评估机构</w:t>
      </w:r>
      <w:r>
        <w:rPr>
          <w:spacing w:val="-101"/>
        </w:rPr>
        <w:t> </w:t>
      </w:r>
      <w:r>
        <w:rPr>
          <w:spacing w:val="-101"/>
        </w:rPr>
      </w:r>
      <w:r>
        <w:rPr/>
        <w:t>和评估人员不承担相关责任。</w:t>
      </w:r>
    </w:p>
    <w:p>
      <w:pPr>
        <w:pStyle w:val="BodyText"/>
        <w:spacing w:line="391" w:lineRule="auto" w:before="81"/>
        <w:ind w:right="253" w:firstLine="559"/>
        <w:jc w:val="both"/>
      </w:pPr>
      <w:r>
        <w:rPr>
          <w:rFonts w:ascii="Calibri" w:hAnsi="Calibri" w:cs="Calibri" w:eastAsia="Calibri"/>
          <w:spacing w:val="-3"/>
        </w:rPr>
        <w:t>2</w:t>
      </w:r>
      <w:r>
        <w:rPr>
          <w:spacing w:val="-3"/>
        </w:rPr>
        <w:t>．委托方未能提供全部评估对象的法律权属等资料，评估师在本次评</w:t>
      </w:r>
      <w:r>
        <w:rPr>
          <w:w w:val="100"/>
        </w:rPr>
        <w:t> </w:t>
      </w:r>
      <w:r>
        <w:rPr>
          <w:spacing w:val="2"/>
        </w:rPr>
        <w:t>估中设定产权为委托方所有而出具了委估资产价值估价意见，如因产权瑕</w:t>
      </w:r>
      <w:r>
        <w:rPr>
          <w:spacing w:val="-101"/>
        </w:rPr>
        <w:t> </w:t>
      </w:r>
      <w:r>
        <w:rPr>
          <w:spacing w:val="-101"/>
        </w:rPr>
      </w:r>
      <w:r>
        <w:rPr>
          <w:spacing w:val="2"/>
        </w:rPr>
        <w:t>疵而引起的纠纷及所产生的后果与本公司及评估人员无关。本次为委托方</w:t>
      </w:r>
    </w:p>
    <w:p>
      <w:pPr>
        <w:spacing w:after="0" w:line="391" w:lineRule="auto"/>
        <w:jc w:val="both"/>
        <w:sectPr>
          <w:footerReference w:type="default" r:id="rId15"/>
          <w:pgSz w:w="11910" w:h="16840"/>
          <w:pgMar w:footer="1196" w:header="878" w:top="1100" w:bottom="1380" w:left="1300" w:right="1160"/>
          <w:pgNumType w:start="30"/>
        </w:sectPr>
      </w:pPr>
    </w:p>
    <w:p>
      <w:pPr>
        <w:spacing w:line="240" w:lineRule="auto" w:before="0"/>
        <w:rPr>
          <w:rFonts w:ascii="仿宋" w:hAnsi="仿宋" w:cs="仿宋" w:eastAsia="仿宋"/>
          <w:sz w:val="20"/>
          <w:szCs w:val="20"/>
        </w:rPr>
      </w:pPr>
    </w:p>
    <w:p>
      <w:pPr>
        <w:pStyle w:val="BodyText"/>
        <w:spacing w:line="408" w:lineRule="auto" w:before="146"/>
        <w:ind w:right="0"/>
        <w:jc w:val="left"/>
      </w:pPr>
      <w:r>
        <w:rPr>
          <w:spacing w:val="2"/>
        </w:rPr>
        <w:t>提供市场价值的评估，仅供委托方进行参考，不可视为其可实现价值的保</w:t>
      </w:r>
      <w:r>
        <w:rPr>
          <w:spacing w:val="-101"/>
        </w:rPr>
        <w:t> </w:t>
      </w:r>
      <w:r>
        <w:rPr>
          <w:spacing w:val="-101"/>
        </w:rPr>
      </w:r>
      <w:r>
        <w:rPr/>
        <w:t>证。</w:t>
      </w:r>
    </w:p>
    <w:p>
      <w:pPr>
        <w:pStyle w:val="BodyText"/>
        <w:spacing w:line="372" w:lineRule="auto"/>
        <w:ind w:right="113" w:firstLine="559"/>
        <w:jc w:val="both"/>
      </w:pPr>
      <w:r>
        <w:rPr>
          <w:rFonts w:ascii="Calibri" w:hAnsi="Calibri" w:cs="Calibri" w:eastAsia="Calibri"/>
          <w:spacing w:val="-3"/>
        </w:rPr>
        <w:t>3</w:t>
      </w:r>
      <w:r>
        <w:rPr>
          <w:spacing w:val="-3"/>
        </w:rPr>
        <w:t>．本报告的评估结论没有考虑评估对象可能承担的抵押、担保等事宜</w:t>
      </w:r>
      <w:r>
        <w:rPr>
          <w:w w:val="100"/>
        </w:rPr>
        <w:t> </w:t>
      </w:r>
      <w:r>
        <w:rPr>
          <w:spacing w:val="2"/>
        </w:rPr>
        <w:t>和其他经济行为以及特殊的交易方式所可能带来的追加付出或减少付出的</w:t>
      </w:r>
    </w:p>
    <w:p>
      <w:pPr>
        <w:pStyle w:val="BodyText"/>
        <w:spacing w:line="408" w:lineRule="auto" w:before="103"/>
        <w:ind w:right="0"/>
        <w:jc w:val="left"/>
      </w:pPr>
      <w:r>
        <w:rPr>
          <w:spacing w:val="2"/>
        </w:rPr>
        <w:t>价格等对评估价值的影响；同时也未考虑遇有自然力和其他不可抗力对资</w:t>
      </w:r>
      <w:r>
        <w:rPr>
          <w:spacing w:val="-101"/>
        </w:rPr>
        <w:t> </w:t>
      </w:r>
      <w:r>
        <w:rPr>
          <w:spacing w:val="-101"/>
        </w:rPr>
      </w:r>
      <w:r>
        <w:rPr/>
        <w:t>产价值所产生的影响。</w:t>
      </w:r>
    </w:p>
    <w:p>
      <w:pPr>
        <w:pStyle w:val="BodyText"/>
        <w:spacing w:line="372" w:lineRule="auto"/>
        <w:ind w:right="111" w:firstLine="559"/>
        <w:jc w:val="both"/>
      </w:pPr>
      <w:r>
        <w:rPr>
          <w:rFonts w:ascii="Calibri" w:hAnsi="Calibri" w:cs="Calibri" w:eastAsia="Calibri"/>
          <w:spacing w:val="4"/>
        </w:rPr>
        <w:t>4</w:t>
      </w:r>
      <w:r>
        <w:rPr>
          <w:spacing w:val="4"/>
        </w:rPr>
        <w:t>．本报告的评估结论没有考虑以下经济行为对资产价格的影响：</w:t>
      </w:r>
      <w:r>
        <w:rPr>
          <w:rFonts w:ascii="Calibri" w:hAnsi="Calibri" w:cs="Calibri" w:eastAsia="Calibri"/>
          <w:spacing w:val="4"/>
        </w:rPr>
        <w:t>(1)</w:t>
      </w:r>
      <w:r>
        <w:rPr>
          <w:rFonts w:ascii="Calibri" w:hAnsi="Calibri" w:cs="Calibri" w:eastAsia="Calibri"/>
          <w:w w:val="100"/>
        </w:rPr>
        <w:t> </w:t>
      </w:r>
      <w:r>
        <w:rPr/>
        <w:t>或有担保，以公司名义或资产对外进行的担保行为；</w:t>
      </w:r>
      <w:r>
        <w:rPr>
          <w:rFonts w:ascii="Calibri" w:hAnsi="Calibri" w:cs="Calibri" w:eastAsia="Calibri"/>
        </w:rPr>
        <w:t>(2)</w:t>
      </w:r>
      <w:r>
        <w:rPr/>
        <w:t>未发现的未支付债</w:t>
      </w:r>
      <w:r>
        <w:rPr>
          <w:spacing w:val="-72"/>
        </w:rPr>
        <w:t> </w:t>
      </w:r>
      <w:r>
        <w:rPr>
          <w:spacing w:val="-72"/>
        </w:rPr>
      </w:r>
      <w:r>
        <w:rPr/>
        <w:t>务和潜在的诉讼；</w:t>
      </w:r>
      <w:r>
        <w:rPr>
          <w:rFonts w:ascii="Calibri" w:hAnsi="Calibri" w:cs="Calibri" w:eastAsia="Calibri"/>
        </w:rPr>
        <w:t>(3)</w:t>
      </w:r>
      <w:r>
        <w:rPr/>
        <w:t>纳税责任和滞纳金，可能存在税务机关要求补税的情</w:t>
      </w:r>
      <w:r>
        <w:rPr>
          <w:spacing w:val="-70"/>
        </w:rPr>
        <w:t> </w:t>
      </w:r>
      <w:r>
        <w:rPr>
          <w:spacing w:val="-70"/>
        </w:rPr>
      </w:r>
      <w:r>
        <w:rPr/>
        <w:t>况；</w:t>
      </w:r>
      <w:r>
        <w:rPr>
          <w:rFonts w:ascii="Calibri" w:hAnsi="Calibri" w:cs="Calibri" w:eastAsia="Calibri"/>
        </w:rPr>
        <w:t>(4)</w:t>
      </w:r>
      <w:r>
        <w:rPr/>
        <w:t>其他或有责任。</w:t>
      </w:r>
    </w:p>
    <w:p>
      <w:pPr>
        <w:pStyle w:val="BodyText"/>
        <w:spacing w:line="391" w:lineRule="auto" w:before="33"/>
        <w:ind w:right="113" w:firstLine="559"/>
        <w:jc w:val="both"/>
      </w:pPr>
      <w:r>
        <w:rPr>
          <w:rFonts w:ascii="Calibri" w:hAnsi="Calibri" w:cs="Calibri" w:eastAsia="Calibri"/>
          <w:spacing w:val="-3"/>
        </w:rPr>
        <w:t>5</w:t>
      </w:r>
      <w:r>
        <w:rPr>
          <w:spacing w:val="-3"/>
        </w:rPr>
        <w:t>．本次评估对评估对象进行的实地勘查，仅为一般性的勘查，相关数</w:t>
      </w:r>
      <w:r>
        <w:rPr>
          <w:w w:val="100"/>
        </w:rPr>
        <w:t> </w:t>
      </w:r>
      <w:r>
        <w:rPr>
          <w:spacing w:val="2"/>
        </w:rPr>
        <w:t>据和资料的真实性、准确性由委托方负责，本评估报告结果是此基础上得</w:t>
      </w:r>
      <w:r>
        <w:rPr>
          <w:spacing w:val="-101"/>
        </w:rPr>
        <w:t> </w:t>
      </w:r>
      <w:r>
        <w:rPr>
          <w:spacing w:val="-101"/>
        </w:rPr>
      </w:r>
      <w:r>
        <w:rPr>
          <w:spacing w:val="2"/>
        </w:rPr>
        <w:t>出。如利益相关方在引用本报告时，对上述相关数据和资料的真实性、准</w:t>
      </w:r>
    </w:p>
    <w:p>
      <w:pPr>
        <w:pStyle w:val="BodyText"/>
        <w:spacing w:line="408" w:lineRule="auto" w:before="81"/>
        <w:ind w:right="0"/>
        <w:jc w:val="left"/>
      </w:pPr>
      <w:r>
        <w:rPr>
          <w:spacing w:val="2"/>
        </w:rPr>
        <w:t>确性有疑异，可与委托方及及被评估单位协商确定后，委托评估机构对该</w:t>
      </w:r>
      <w:r>
        <w:rPr>
          <w:spacing w:val="-101"/>
        </w:rPr>
        <w:t> </w:t>
      </w:r>
      <w:r>
        <w:rPr>
          <w:spacing w:val="-101"/>
        </w:rPr>
      </w:r>
      <w:r>
        <w:rPr/>
        <w:t>部分资产重新评估。</w:t>
      </w:r>
    </w:p>
    <w:p>
      <w:pPr>
        <w:pStyle w:val="BodyText"/>
        <w:spacing w:line="391" w:lineRule="auto"/>
        <w:ind w:right="113" w:firstLine="559"/>
        <w:jc w:val="both"/>
      </w:pPr>
      <w:r>
        <w:rPr>
          <w:rFonts w:ascii="Calibri" w:hAnsi="Calibri" w:cs="Calibri" w:eastAsia="Calibri"/>
          <w:spacing w:val="-3"/>
        </w:rPr>
        <w:t>6</w:t>
      </w:r>
      <w:r>
        <w:rPr>
          <w:spacing w:val="-3"/>
        </w:rPr>
        <w:t>．评估人员未发现评估基准日后影响评估结论的重大事项。在评估基</w:t>
      </w:r>
      <w:r>
        <w:rPr>
          <w:w w:val="100"/>
        </w:rPr>
        <w:t> </w:t>
      </w:r>
      <w:r>
        <w:rPr>
          <w:spacing w:val="2"/>
        </w:rPr>
        <w:t>准日后，且评估结论的使用有效期内，如纳入评估范围的资产数量、状态</w:t>
      </w:r>
      <w:r>
        <w:rPr>
          <w:spacing w:val="-101"/>
        </w:rPr>
        <w:t> </w:t>
      </w:r>
      <w:r>
        <w:rPr>
          <w:spacing w:val="-101"/>
        </w:rPr>
      </w:r>
      <w:r>
        <w:rPr>
          <w:spacing w:val="2"/>
        </w:rPr>
        <w:t>及作价标准发生变化，并对本评估报告资产评估结论产生明显影响时，委</w:t>
      </w:r>
    </w:p>
    <w:p>
      <w:pPr>
        <w:pStyle w:val="BodyText"/>
        <w:spacing w:line="240" w:lineRule="auto" w:before="81"/>
        <w:ind w:right="0"/>
        <w:jc w:val="left"/>
      </w:pPr>
      <w:r>
        <w:rPr/>
        <w:t>托人应及时聘请资产评估机构重新评估。</w:t>
      </w:r>
    </w:p>
    <w:p>
      <w:pPr>
        <w:spacing w:line="240" w:lineRule="auto" w:before="9"/>
        <w:rPr>
          <w:rFonts w:ascii="仿宋" w:hAnsi="仿宋" w:cs="仿宋" w:eastAsia="仿宋"/>
          <w:sz w:val="19"/>
          <w:szCs w:val="19"/>
        </w:rPr>
      </w:pPr>
    </w:p>
    <w:p>
      <w:pPr>
        <w:pStyle w:val="BodyText"/>
        <w:spacing w:line="372" w:lineRule="auto" w:before="0"/>
        <w:ind w:right="115" w:firstLine="559"/>
        <w:jc w:val="both"/>
      </w:pPr>
      <w:r>
        <w:rPr>
          <w:rFonts w:ascii="Calibri" w:hAnsi="Calibri" w:cs="Calibri" w:eastAsia="Calibri"/>
          <w:spacing w:val="-3"/>
        </w:rPr>
        <w:t>7</w:t>
      </w:r>
      <w:r>
        <w:rPr>
          <w:spacing w:val="-3"/>
        </w:rPr>
        <w:t>．本次评估结果仅为委托方提供评估价值参考，报告评估范围及对象</w:t>
      </w:r>
      <w:r>
        <w:rPr>
          <w:w w:val="100"/>
        </w:rPr>
        <w:t> </w:t>
      </w:r>
      <w:r>
        <w:rPr/>
        <w:t>是由委托方及被评估企业申报、并现场指认。</w:t>
      </w:r>
    </w:p>
    <w:p>
      <w:pPr>
        <w:pStyle w:val="BodyText"/>
        <w:spacing w:line="240" w:lineRule="auto" w:before="103"/>
        <w:ind w:left="677" w:right="0"/>
        <w:jc w:val="left"/>
      </w:pPr>
      <w:r>
        <w:rPr>
          <w:rFonts w:ascii="Calibri" w:hAnsi="Calibri" w:cs="Calibri" w:eastAsia="Calibri"/>
          <w:spacing w:val="-3"/>
        </w:rPr>
        <w:t>8</w:t>
      </w:r>
      <w:r>
        <w:rPr>
          <w:spacing w:val="-3"/>
        </w:rPr>
        <w:t>．本次评估根据《中华人民共和国合同法》第二百一十四条关于租赁</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pStyle w:val="BodyText"/>
        <w:spacing w:line="240" w:lineRule="auto" w:before="146"/>
        <w:ind w:right="0"/>
        <w:jc w:val="left"/>
      </w:pPr>
      <w:r>
        <w:rPr>
          <w:spacing w:val="-3"/>
        </w:rPr>
        <w:t>期限的规定，将牙鲆鱼养殖示范开发项目所占 </w:t>
      </w:r>
      <w:r>
        <w:rPr>
          <w:rFonts w:ascii="Calibri" w:hAnsi="Calibri" w:cs="Calibri" w:eastAsia="Calibri"/>
        </w:rPr>
        <w:t>10</w:t>
      </w:r>
      <w:r>
        <w:rPr>
          <w:rFonts w:ascii="Calibri" w:hAnsi="Calibri" w:cs="Calibri" w:eastAsia="Calibri"/>
          <w:spacing w:val="-18"/>
        </w:rPr>
        <w:t> </w:t>
      </w:r>
      <w:r>
        <w:rPr>
          <w:spacing w:val="-3"/>
        </w:rPr>
        <w:t>亩土地，按照剩余租赁年</w:t>
      </w:r>
    </w:p>
    <w:p>
      <w:pPr>
        <w:pStyle w:val="BodyText"/>
        <w:spacing w:line="372" w:lineRule="auto" w:before="221"/>
        <w:ind w:right="0"/>
        <w:jc w:val="left"/>
      </w:pPr>
      <w:r>
        <w:rPr/>
        <w:t>限最长</w:t>
      </w:r>
      <w:r>
        <w:rPr>
          <w:spacing w:val="-57"/>
        </w:rPr>
        <w:t> </w:t>
      </w:r>
      <w:r>
        <w:rPr>
          <w:rFonts w:ascii="Calibri" w:hAnsi="Calibri" w:cs="Calibri" w:eastAsia="Calibri"/>
        </w:rPr>
        <w:t>20</w:t>
      </w:r>
      <w:r>
        <w:rPr>
          <w:rFonts w:ascii="Calibri" w:hAnsi="Calibri" w:cs="Calibri" w:eastAsia="Calibri"/>
          <w:spacing w:val="19"/>
        </w:rPr>
        <w:t> </w:t>
      </w:r>
      <w:r>
        <w:rPr>
          <w:spacing w:val="-3"/>
        </w:rPr>
        <w:t>年进行评估，相关评估值在此基础上测算得出，如实际情况与设</w:t>
      </w:r>
      <w:r>
        <w:rPr>
          <w:spacing w:val="-135"/>
        </w:rPr>
        <w:t> </w:t>
      </w:r>
      <w:r>
        <w:rPr>
          <w:spacing w:val="-135"/>
        </w:rPr>
      </w:r>
      <w:r>
        <w:rPr/>
        <w:t>定条件不一致，评估值亦需做相应调整。</w:t>
      </w:r>
    </w:p>
    <w:p>
      <w:pPr>
        <w:pStyle w:val="BodyText"/>
        <w:spacing w:line="372" w:lineRule="auto" w:before="103"/>
        <w:ind w:right="0" w:firstLine="559"/>
        <w:jc w:val="left"/>
      </w:pPr>
      <w:r>
        <w:rPr>
          <w:rFonts w:ascii="Calibri" w:hAnsi="Calibri" w:cs="Calibri" w:eastAsia="Calibri"/>
          <w:spacing w:val="6"/>
        </w:rPr>
        <w:t>9</w:t>
      </w:r>
      <w:r>
        <w:rPr>
          <w:spacing w:val="6"/>
        </w:rPr>
        <w:t>．敬请评估报告使用者使用时充分关注上述事项可能对评估结果的</w:t>
      </w:r>
      <w:r>
        <w:rPr>
          <w:w w:val="100"/>
        </w:rPr>
        <w:t> </w:t>
      </w:r>
      <w:r>
        <w:rPr/>
        <w:t>影响。</w:t>
      </w:r>
    </w:p>
    <w:p>
      <w:pPr>
        <w:pStyle w:val="Heading3"/>
        <w:spacing w:line="338" w:lineRule="exact"/>
        <w:ind w:left="694" w:right="2724" w:hanging="576"/>
        <w:jc w:val="left"/>
        <w:rPr>
          <w:b w:val="0"/>
          <w:bCs w:val="0"/>
        </w:rPr>
      </w:pPr>
      <w:r>
        <w:rPr/>
        <w:t>十二、</w:t>
      </w:r>
      <w:bookmarkStart w:name="十二、报告使用限制说明" w:id="58"/>
      <w:bookmarkEnd w:id="58"/>
      <w:r>
        <w:rPr/>
      </w:r>
      <w:bookmarkStart w:name="_bookmark14" w:id="59"/>
      <w:bookmarkEnd w:id="59"/>
      <w:r>
        <w:rPr/>
        <w:t>报</w:t>
      </w:r>
      <w:r>
        <w:rPr/>
        <w:t>告使用限制说明</w:t>
      </w:r>
      <w:r>
        <w:rPr>
          <w:b w:val="0"/>
          <w:bCs w:val="0"/>
        </w:rPr>
      </w:r>
    </w:p>
    <w:p>
      <w:pPr>
        <w:spacing w:line="240" w:lineRule="auto" w:before="7"/>
        <w:rPr>
          <w:rFonts w:ascii="仿宋" w:hAnsi="仿宋" w:cs="仿宋" w:eastAsia="仿宋"/>
          <w:b/>
          <w:bCs/>
          <w:sz w:val="23"/>
          <w:szCs w:val="23"/>
        </w:rPr>
      </w:pPr>
    </w:p>
    <w:p>
      <w:pPr>
        <w:pStyle w:val="BodyText"/>
        <w:spacing w:line="240" w:lineRule="auto" w:before="0"/>
        <w:ind w:left="694" w:right="0"/>
        <w:jc w:val="left"/>
      </w:pPr>
      <w:r>
        <w:rPr>
          <w:rFonts w:ascii="Calibri" w:hAnsi="Calibri" w:cs="Calibri" w:eastAsia="Calibri"/>
          <w:spacing w:val="5"/>
        </w:rPr>
        <w:t>1</w:t>
      </w:r>
      <w:r>
        <w:rPr>
          <w:spacing w:val="5"/>
        </w:rPr>
        <w:t>．本报告只能用于报告载明的评估目的和用途；</w:t>
      </w:r>
    </w:p>
    <w:p>
      <w:pPr>
        <w:pStyle w:val="BodyText"/>
        <w:spacing w:line="240" w:lineRule="auto" w:before="221"/>
        <w:ind w:left="694" w:right="0"/>
        <w:jc w:val="left"/>
      </w:pPr>
      <w:r>
        <w:rPr>
          <w:rFonts w:ascii="Calibri" w:hAnsi="Calibri" w:cs="Calibri" w:eastAsia="Calibri"/>
          <w:spacing w:val="5"/>
        </w:rPr>
        <w:t>2</w:t>
      </w:r>
      <w:r>
        <w:rPr>
          <w:spacing w:val="5"/>
        </w:rPr>
        <w:t>．本报告只能由本报告载明的评估报告使用者使用；</w:t>
      </w:r>
    </w:p>
    <w:p>
      <w:pPr>
        <w:pStyle w:val="BodyText"/>
        <w:spacing w:line="372" w:lineRule="auto" w:before="221"/>
        <w:ind w:right="0" w:firstLine="576"/>
        <w:jc w:val="left"/>
      </w:pPr>
      <w:r>
        <w:rPr>
          <w:rFonts w:ascii="Calibri" w:hAnsi="Calibri" w:cs="Calibri" w:eastAsia="Calibri"/>
          <w:spacing w:val="5"/>
        </w:rPr>
        <w:t>3</w:t>
      </w:r>
      <w:r>
        <w:rPr>
          <w:spacing w:val="5"/>
        </w:rPr>
        <w:t>．未征得出具本报告的评估机构同意，报告的内容不得被摘抄、引</w:t>
      </w:r>
      <w:r>
        <w:rPr>
          <w:w w:val="100"/>
        </w:rPr>
        <w:t> </w:t>
      </w:r>
      <w:r>
        <w:rPr>
          <w:spacing w:val="5"/>
        </w:rPr>
        <w:t>用或披露于公共媒体，法律、法规规定以及相关当事方另有约定的除外；</w:t>
      </w:r>
    </w:p>
    <w:p>
      <w:pPr>
        <w:spacing w:line="295" w:lineRule="auto" w:before="103"/>
        <w:ind w:left="118" w:right="2724" w:firstLine="559"/>
        <w:jc w:val="left"/>
        <w:rPr>
          <w:rFonts w:ascii="仿宋" w:hAnsi="仿宋" w:cs="仿宋" w:eastAsia="仿宋"/>
          <w:sz w:val="28"/>
          <w:szCs w:val="28"/>
        </w:rPr>
      </w:pPr>
      <w:r>
        <w:rPr>
          <w:rFonts w:ascii="Calibri" w:hAnsi="Calibri" w:cs="Calibri" w:eastAsia="Calibri"/>
          <w:spacing w:val="-2"/>
          <w:sz w:val="28"/>
          <w:szCs w:val="28"/>
        </w:rPr>
        <w:t>4</w:t>
      </w:r>
      <w:r>
        <w:rPr>
          <w:rFonts w:ascii="仿宋" w:hAnsi="仿宋" w:cs="仿宋" w:eastAsia="仿宋"/>
          <w:spacing w:val="-2"/>
          <w:sz w:val="28"/>
          <w:szCs w:val="28"/>
        </w:rPr>
        <w:t>．评估结论的使用有效期自评估基准日起一年。</w:t>
      </w:r>
      <w:r>
        <w:rPr>
          <w:rFonts w:ascii="仿宋" w:hAnsi="仿宋" w:cs="仿宋" w:eastAsia="仿宋"/>
          <w:w w:val="100"/>
          <w:sz w:val="28"/>
          <w:szCs w:val="28"/>
        </w:rPr>
        <w:t> </w:t>
      </w:r>
      <w:r>
        <w:rPr>
          <w:rFonts w:ascii="仿宋" w:hAnsi="仿宋" w:cs="仿宋" w:eastAsia="仿宋"/>
          <w:b/>
          <w:bCs/>
          <w:sz w:val="28"/>
          <w:szCs w:val="28"/>
        </w:rPr>
        <w:t>十三、</w:t>
      </w:r>
      <w:bookmarkStart w:name="十三、评估报告日" w:id="60"/>
      <w:bookmarkEnd w:id="60"/>
      <w:r>
        <w:rPr>
          <w:rFonts w:ascii="仿宋" w:hAnsi="仿宋" w:cs="仿宋" w:eastAsia="仿宋"/>
          <w:b/>
          <w:bCs/>
          <w:sz w:val="28"/>
          <w:szCs w:val="28"/>
        </w:rPr>
      </w:r>
      <w:bookmarkStart w:name="_bookmark15" w:id="61"/>
      <w:bookmarkEnd w:id="61"/>
      <w:r>
        <w:rPr>
          <w:rFonts w:ascii="仿宋" w:hAnsi="仿宋" w:cs="仿宋" w:eastAsia="仿宋"/>
          <w:b/>
          <w:bCs/>
          <w:sz w:val="28"/>
          <w:szCs w:val="28"/>
        </w:rPr>
        <w:t>评</w:t>
      </w:r>
      <w:r>
        <w:rPr>
          <w:rFonts w:ascii="仿宋" w:hAnsi="仿宋" w:cs="仿宋" w:eastAsia="仿宋"/>
          <w:b/>
          <w:bCs/>
          <w:sz w:val="28"/>
          <w:szCs w:val="28"/>
        </w:rPr>
        <w:t>估报告日</w:t>
      </w:r>
      <w:r>
        <w:rPr>
          <w:rFonts w:ascii="仿宋" w:hAnsi="仿宋" w:cs="仿宋" w:eastAsia="仿宋"/>
          <w:sz w:val="28"/>
          <w:szCs w:val="28"/>
        </w:rPr>
      </w:r>
    </w:p>
    <w:p>
      <w:pPr>
        <w:pStyle w:val="BodyText"/>
        <w:spacing w:line="240" w:lineRule="auto" w:before="243"/>
        <w:ind w:left="677" w:right="2724"/>
        <w:jc w:val="left"/>
      </w:pPr>
      <w:r>
        <w:rPr/>
        <w:pict>
          <v:shape style="position:absolute;margin-left:375pt;margin-top:17.651569pt;width:133.550pt;height:133.550pt;mso-position-horizontal-relative:page;mso-position-vertical-relative:paragraph;z-index:-35680" type="#_x0000_t202" filled="false" stroked="false">
            <v:textbox inset="0,0,0,0">
              <w:txbxContent>
                <w:p>
                  <w:pPr>
                    <w:spacing w:line="240" w:lineRule="auto" w:before="0"/>
                    <w:rPr>
                      <w:rFonts w:ascii="仿宋" w:hAnsi="仿宋" w:cs="仿宋" w:eastAsia="仿宋"/>
                      <w:sz w:val="28"/>
                      <w:szCs w:val="28"/>
                    </w:rPr>
                  </w:pPr>
                </w:p>
                <w:p>
                  <w:pPr>
                    <w:spacing w:line="240" w:lineRule="auto" w:before="0"/>
                    <w:rPr>
                      <w:rFonts w:ascii="仿宋" w:hAnsi="仿宋" w:cs="仿宋" w:eastAsia="仿宋"/>
                      <w:sz w:val="28"/>
                      <w:szCs w:val="28"/>
                    </w:rPr>
                  </w:pPr>
                </w:p>
                <w:p>
                  <w:pPr>
                    <w:spacing w:line="240" w:lineRule="auto" w:before="13"/>
                    <w:rPr>
                      <w:rFonts w:ascii="仿宋" w:hAnsi="仿宋" w:cs="仿宋" w:eastAsia="仿宋"/>
                      <w:sz w:val="30"/>
                      <w:szCs w:val="30"/>
                    </w:rPr>
                  </w:pPr>
                </w:p>
                <w:p>
                  <w:pPr>
                    <w:pStyle w:val="BodyText"/>
                    <w:spacing w:line="240" w:lineRule="auto" w:before="0"/>
                    <w:ind w:left="79" w:right="0"/>
                    <w:jc w:val="left"/>
                  </w:pPr>
                  <w:r>
                    <w:rPr>
                      <w:spacing w:val="-3"/>
                      <w:w w:val="100"/>
                    </w:rPr>
                    <w:t>评</w:t>
                  </w:r>
                  <w:r>
                    <w:rPr>
                      <w:spacing w:val="-1"/>
                      <w:w w:val="100"/>
                    </w:rPr>
                    <w:t>估造</w:t>
                  </w:r>
                  <w:r>
                    <w:rPr>
                      <w:spacing w:val="-3"/>
                      <w:w w:val="100"/>
                    </w:rPr>
                    <w:t>价</w:t>
                  </w:r>
                  <w:r>
                    <w:rPr>
                      <w:spacing w:val="-1"/>
                      <w:w w:val="100"/>
                    </w:rPr>
                    <w:t>咨询</w:t>
                  </w:r>
                  <w:r>
                    <w:rPr>
                      <w:spacing w:val="-3"/>
                      <w:w w:val="100"/>
                    </w:rPr>
                    <w:t>有</w:t>
                  </w:r>
                  <w:r>
                    <w:rPr>
                      <w:spacing w:val="-1"/>
                      <w:w w:val="100"/>
                    </w:rPr>
                    <w:t>限</w:t>
                  </w:r>
                  <w:r>
                    <w:rPr>
                      <w:w w:val="100"/>
                    </w:rPr>
                    <w:t>公</w:t>
                  </w:r>
                </w:p>
              </w:txbxContent>
            </v:textbox>
            <w10:wrap type="none"/>
          </v:shape>
        </w:pict>
      </w:r>
      <w:r>
        <w:rPr/>
        <w:pict>
          <v:group style="position:absolute;margin-left:300.5pt;margin-top:17.651569pt;width:208.05pt;height:300.850pt;mso-position-horizontal-relative:page;mso-position-vertical-relative:paragraph;z-index:-35632" coordorigin="6010,353" coordsize="4161,6017">
            <v:shape style="position:absolute;left:7500;top:353;width:2671;height:2671" type="#_x0000_t75" stroked="false">
              <v:imagedata r:id="rId7" o:title=""/>
            </v:shape>
            <v:shape style="position:absolute;left:6010;top:2273;width:2671;height:2671" type="#_x0000_t75" stroked="false">
              <v:imagedata r:id="rId16" o:title=""/>
            </v:shape>
            <v:shape style="position:absolute;left:6055;top:3699;width:2671;height:2671" type="#_x0000_t75" stroked="false">
              <v:imagedata r:id="rId17" o:title=""/>
            </v:shape>
            <w10:wrap type="none"/>
          </v:group>
        </w:pict>
      </w:r>
      <w:r>
        <w:rPr>
          <w:spacing w:val="5"/>
        </w:rPr>
        <w:t>本项目评估报告日是二Ｏ一八年九月三日。</w:t>
      </w:r>
    </w:p>
    <w:p>
      <w:pPr>
        <w:spacing w:line="240" w:lineRule="auto" w:before="0"/>
        <w:rPr>
          <w:rFonts w:ascii="仿宋" w:hAnsi="仿宋" w:cs="仿宋" w:eastAsia="仿宋"/>
          <w:sz w:val="28"/>
          <w:szCs w:val="28"/>
        </w:rPr>
      </w:pPr>
    </w:p>
    <w:p>
      <w:pPr>
        <w:spacing w:line="240" w:lineRule="auto" w:before="5"/>
        <w:rPr>
          <w:rFonts w:ascii="仿宋" w:hAnsi="仿宋" w:cs="仿宋" w:eastAsia="仿宋"/>
          <w:sz w:val="39"/>
          <w:szCs w:val="39"/>
        </w:rPr>
      </w:pPr>
    </w:p>
    <w:p>
      <w:pPr>
        <w:pStyle w:val="BodyText"/>
        <w:tabs>
          <w:tab w:pos="8799" w:val="left" w:leader="none"/>
        </w:tabs>
        <w:spacing w:line="240" w:lineRule="auto" w:before="0"/>
        <w:ind w:left="4318" w:right="0" w:hanging="840"/>
        <w:jc w:val="left"/>
      </w:pPr>
      <w:r>
        <w:rPr/>
        <w:pict>
          <v:shape style="position:absolute;margin-left:294.959839pt;margin-top:39.101574pt;width:139.1pt;height:135.25pt;mso-position-horizontal-relative:page;mso-position-vertical-relative:paragraph;z-index:-35656" type="#_x0000_t202" filled="false" stroked="false">
            <v:textbox inset="0,0,0,0">
              <w:txbxContent>
                <w:p>
                  <w:pPr>
                    <w:spacing w:line="240" w:lineRule="auto" w:before="0"/>
                    <w:rPr>
                      <w:rFonts w:ascii="仿宋" w:hAnsi="仿宋" w:cs="仿宋" w:eastAsia="仿宋"/>
                      <w:sz w:val="28"/>
                      <w:szCs w:val="28"/>
                    </w:rPr>
                  </w:pPr>
                </w:p>
                <w:p>
                  <w:pPr>
                    <w:spacing w:line="240" w:lineRule="auto" w:before="0"/>
                    <w:rPr>
                      <w:rFonts w:ascii="仿宋" w:hAnsi="仿宋" w:cs="仿宋" w:eastAsia="仿宋"/>
                      <w:sz w:val="28"/>
                      <w:szCs w:val="28"/>
                    </w:rPr>
                  </w:pPr>
                </w:p>
                <w:p>
                  <w:pPr>
                    <w:spacing w:line="240" w:lineRule="auto" w:before="4"/>
                    <w:rPr>
                      <w:rFonts w:ascii="仿宋" w:hAnsi="仿宋" w:cs="仿宋" w:eastAsia="仿宋"/>
                      <w:sz w:val="27"/>
                      <w:szCs w:val="27"/>
                    </w:rPr>
                  </w:pPr>
                </w:p>
                <w:p>
                  <w:pPr>
                    <w:pStyle w:val="BodyText"/>
                    <w:spacing w:line="240" w:lineRule="auto" w:before="0"/>
                    <w:ind w:left="0" w:right="0"/>
                    <w:jc w:val="left"/>
                  </w:pPr>
                  <w:r>
                    <w:rPr>
                      <w:spacing w:val="-3"/>
                      <w:w w:val="100"/>
                    </w:rPr>
                    <w:t>产</w:t>
                  </w:r>
                  <w:r>
                    <w:rPr>
                      <w:spacing w:val="-1"/>
                      <w:w w:val="100"/>
                    </w:rPr>
                    <w:t>评估</w:t>
                  </w:r>
                  <w:r>
                    <w:rPr>
                      <w:spacing w:val="-3"/>
                      <w:w w:val="100"/>
                    </w:rPr>
                    <w:t>师</w:t>
                  </w:r>
                  <w:r>
                    <w:rPr>
                      <w:w w:val="100"/>
                    </w:rPr>
                    <w:t>：</w:t>
                  </w:r>
                </w:p>
                <w:p>
                  <w:pPr>
                    <w:spacing w:line="240" w:lineRule="auto" w:before="0"/>
                    <w:rPr>
                      <w:rFonts w:ascii="仿宋" w:hAnsi="仿宋" w:cs="仿宋" w:eastAsia="仿宋"/>
                      <w:sz w:val="28"/>
                      <w:szCs w:val="28"/>
                    </w:rPr>
                  </w:pPr>
                </w:p>
                <w:p>
                  <w:pPr>
                    <w:spacing w:line="240" w:lineRule="auto" w:before="5"/>
                    <w:rPr>
                      <w:rFonts w:ascii="仿宋" w:hAnsi="仿宋" w:cs="仿宋" w:eastAsia="仿宋"/>
                      <w:sz w:val="39"/>
                      <w:szCs w:val="39"/>
                    </w:rPr>
                  </w:pPr>
                </w:p>
                <w:p>
                  <w:pPr>
                    <w:pStyle w:val="BodyText"/>
                    <w:spacing w:line="240" w:lineRule="auto" w:before="0"/>
                    <w:ind w:left="0" w:right="0"/>
                    <w:jc w:val="left"/>
                  </w:pPr>
                  <w:r>
                    <w:rPr>
                      <w:spacing w:val="-3"/>
                      <w:w w:val="100"/>
                    </w:rPr>
                    <w:t>产</w:t>
                  </w:r>
                  <w:r>
                    <w:rPr>
                      <w:spacing w:val="-1"/>
                      <w:w w:val="100"/>
                    </w:rPr>
                    <w:t>评估</w:t>
                  </w:r>
                  <w:r>
                    <w:rPr>
                      <w:spacing w:val="-3"/>
                      <w:w w:val="100"/>
                    </w:rPr>
                    <w:t>师</w:t>
                  </w:r>
                  <w:r>
                    <w:rPr>
                      <w:w w:val="100"/>
                    </w:rPr>
                    <w:t>：</w:t>
                  </w:r>
                </w:p>
              </w:txbxContent>
            </v:textbox>
            <w10:wrap type="none"/>
          </v:shape>
        </w:pict>
      </w:r>
      <w:r>
        <w:rPr>
          <w:spacing w:val="-2"/>
        </w:rPr>
        <w:t>江苏金汇通房地产资产</w:t>
        <w:tab/>
      </w:r>
      <w:r>
        <w:rPr/>
        <w:t>司</w:t>
      </w:r>
    </w:p>
    <w:p>
      <w:pPr>
        <w:spacing w:line="240" w:lineRule="auto" w:before="0"/>
        <w:rPr>
          <w:rFonts w:ascii="仿宋" w:hAnsi="仿宋" w:cs="仿宋" w:eastAsia="仿宋"/>
          <w:sz w:val="28"/>
          <w:szCs w:val="28"/>
        </w:rPr>
      </w:pPr>
    </w:p>
    <w:p>
      <w:pPr>
        <w:spacing w:line="240" w:lineRule="auto" w:before="0"/>
        <w:rPr>
          <w:rFonts w:ascii="仿宋" w:hAnsi="仿宋" w:cs="仿宋" w:eastAsia="仿宋"/>
          <w:sz w:val="28"/>
          <w:szCs w:val="28"/>
        </w:rPr>
      </w:pPr>
    </w:p>
    <w:p>
      <w:pPr>
        <w:spacing w:line="240" w:lineRule="auto" w:before="0"/>
        <w:rPr>
          <w:rFonts w:ascii="仿宋" w:hAnsi="仿宋" w:cs="仿宋" w:eastAsia="仿宋"/>
          <w:sz w:val="28"/>
          <w:szCs w:val="28"/>
        </w:rPr>
      </w:pPr>
    </w:p>
    <w:p>
      <w:pPr>
        <w:spacing w:line="240" w:lineRule="auto" w:before="1"/>
        <w:rPr>
          <w:rFonts w:ascii="仿宋" w:hAnsi="仿宋" w:cs="仿宋" w:eastAsia="仿宋"/>
          <w:sz w:val="31"/>
          <w:szCs w:val="31"/>
        </w:rPr>
      </w:pPr>
    </w:p>
    <w:p>
      <w:pPr>
        <w:pStyle w:val="BodyText"/>
        <w:spacing w:line="240" w:lineRule="auto" w:before="0"/>
        <w:ind w:left="3319" w:right="3825"/>
        <w:jc w:val="center"/>
      </w:pPr>
      <w:r>
        <w:rPr>
          <w:w w:val="100"/>
        </w:rPr>
        <w:t>资</w:t>
      </w:r>
    </w:p>
    <w:p>
      <w:pPr>
        <w:spacing w:line="240" w:lineRule="auto" w:before="0"/>
        <w:rPr>
          <w:rFonts w:ascii="仿宋" w:hAnsi="仿宋" w:cs="仿宋" w:eastAsia="仿宋"/>
          <w:sz w:val="28"/>
          <w:szCs w:val="28"/>
        </w:rPr>
      </w:pPr>
    </w:p>
    <w:p>
      <w:pPr>
        <w:spacing w:line="240" w:lineRule="auto" w:before="5"/>
        <w:rPr>
          <w:rFonts w:ascii="仿宋" w:hAnsi="仿宋" w:cs="仿宋" w:eastAsia="仿宋"/>
          <w:sz w:val="39"/>
          <w:szCs w:val="39"/>
        </w:rPr>
      </w:pPr>
    </w:p>
    <w:p>
      <w:pPr>
        <w:pStyle w:val="BodyText"/>
        <w:spacing w:line="240" w:lineRule="auto" w:before="0"/>
        <w:ind w:left="3319" w:right="3825"/>
        <w:jc w:val="center"/>
      </w:pPr>
      <w:r>
        <w:rPr>
          <w:w w:val="100"/>
        </w:rPr>
        <w:t>资</w:t>
      </w:r>
    </w:p>
    <w:p>
      <w:pPr>
        <w:spacing w:after="0" w:line="240" w:lineRule="auto"/>
        <w:jc w:val="center"/>
        <w:sectPr>
          <w:pgSz w:w="11910" w:h="16840"/>
          <w:pgMar w:header="878" w:footer="1196" w:top="1100" w:bottom="1380" w:left="1300" w:right="1180"/>
        </w:sectPr>
      </w:pPr>
    </w:p>
    <w:p>
      <w:pPr>
        <w:spacing w:line="240" w:lineRule="auto" w:before="0"/>
        <w:rPr>
          <w:rFonts w:ascii="仿宋" w:hAnsi="仿宋" w:cs="仿宋" w:eastAsia="仿宋"/>
          <w:sz w:val="20"/>
          <w:szCs w:val="20"/>
        </w:rPr>
      </w:pPr>
    </w:p>
    <w:p>
      <w:pPr>
        <w:pStyle w:val="BodyText"/>
        <w:spacing w:line="240" w:lineRule="auto" w:before="146"/>
        <w:ind w:left="4258" w:right="0"/>
        <w:jc w:val="left"/>
      </w:pPr>
      <w:r>
        <w:rPr>
          <w:spacing w:val="5"/>
        </w:rPr>
        <w:t>二Ｏ一八年九月三日</w:t>
      </w:r>
    </w:p>
    <w:p>
      <w:pPr>
        <w:spacing w:after="0" w:line="240" w:lineRule="auto"/>
        <w:jc w:val="left"/>
        <w:sectPr>
          <w:pgSz w:w="11910" w:h="16840"/>
          <w:pgMar w:header="878" w:footer="1196" w:top="1100" w:bottom="1380" w:left="1300" w:right="1300"/>
        </w:sectPr>
      </w:pPr>
    </w:p>
    <w:p>
      <w:pPr>
        <w:spacing w:line="240" w:lineRule="auto" w:before="0"/>
        <w:rPr>
          <w:rFonts w:ascii="仿宋" w:hAnsi="仿宋" w:cs="仿宋" w:eastAsia="仿宋"/>
          <w:sz w:val="20"/>
          <w:szCs w:val="20"/>
        </w:rPr>
      </w:pPr>
    </w:p>
    <w:p>
      <w:pPr>
        <w:spacing w:line="240" w:lineRule="auto" w:before="0"/>
        <w:rPr>
          <w:rFonts w:ascii="仿宋" w:hAnsi="仿宋" w:cs="仿宋" w:eastAsia="仿宋"/>
          <w:sz w:val="20"/>
          <w:szCs w:val="20"/>
        </w:rPr>
      </w:pPr>
    </w:p>
    <w:p>
      <w:pPr>
        <w:spacing w:line="240" w:lineRule="auto" w:before="0"/>
        <w:rPr>
          <w:rFonts w:ascii="仿宋" w:hAnsi="仿宋" w:cs="仿宋" w:eastAsia="仿宋"/>
          <w:sz w:val="20"/>
          <w:szCs w:val="20"/>
        </w:rPr>
      </w:pPr>
    </w:p>
    <w:p>
      <w:pPr>
        <w:spacing w:line="240" w:lineRule="auto" w:before="0"/>
        <w:rPr>
          <w:rFonts w:ascii="仿宋" w:hAnsi="仿宋" w:cs="仿宋" w:eastAsia="仿宋"/>
          <w:sz w:val="20"/>
          <w:szCs w:val="20"/>
        </w:rPr>
      </w:pPr>
    </w:p>
    <w:p>
      <w:pPr>
        <w:spacing w:line="240" w:lineRule="auto" w:before="10"/>
        <w:rPr>
          <w:rFonts w:ascii="仿宋" w:hAnsi="仿宋" w:cs="仿宋" w:eastAsia="仿宋"/>
          <w:sz w:val="25"/>
          <w:szCs w:val="25"/>
        </w:rPr>
      </w:pPr>
    </w:p>
    <w:p>
      <w:pPr>
        <w:tabs>
          <w:tab w:pos="1199" w:val="left" w:leader="none"/>
        </w:tabs>
        <w:spacing w:line="580" w:lineRule="exact" w:before="0"/>
        <w:ind w:left="0" w:right="1" w:firstLine="0"/>
        <w:jc w:val="center"/>
        <w:rPr>
          <w:rFonts w:ascii="仿宋" w:hAnsi="仿宋" w:cs="仿宋" w:eastAsia="仿宋"/>
          <w:sz w:val="48"/>
          <w:szCs w:val="48"/>
        </w:rPr>
      </w:pPr>
      <w:bookmarkStart w:name="附   件" w:id="62"/>
      <w:bookmarkEnd w:id="62"/>
      <w:r>
        <w:rPr/>
      </w:r>
      <w:bookmarkStart w:name="_bookmark16" w:id="63"/>
      <w:bookmarkEnd w:id="63"/>
      <w:r>
        <w:rPr/>
      </w:r>
      <w:r>
        <w:rPr>
          <w:rFonts w:ascii="仿宋" w:hAnsi="仿宋" w:cs="仿宋" w:eastAsia="仿宋"/>
          <w:sz w:val="48"/>
          <w:szCs w:val="48"/>
        </w:rPr>
        <w:t>附</w:t>
        <w:tab/>
        <w:t>件</w:t>
      </w:r>
    </w:p>
    <w:p>
      <w:pPr>
        <w:spacing w:line="240" w:lineRule="auto" w:before="12"/>
        <w:rPr>
          <w:rFonts w:ascii="仿宋" w:hAnsi="仿宋" w:cs="仿宋" w:eastAsia="仿宋"/>
          <w:sz w:val="37"/>
          <w:szCs w:val="37"/>
        </w:rPr>
      </w:pPr>
    </w:p>
    <w:p>
      <w:pPr>
        <w:pStyle w:val="BodyText"/>
        <w:spacing w:line="240" w:lineRule="auto" w:before="0"/>
        <w:ind w:left="538" w:right="0"/>
        <w:jc w:val="left"/>
      </w:pPr>
      <w:r>
        <w:rPr/>
        <w:t>（一）资产评估结果汇总及明细表；</w:t>
      </w:r>
    </w:p>
    <w:p>
      <w:pPr>
        <w:pStyle w:val="BodyText"/>
        <w:spacing w:line="240" w:lineRule="auto" w:before="178"/>
        <w:ind w:left="538" w:right="0"/>
        <w:jc w:val="left"/>
      </w:pPr>
      <w:r>
        <w:rPr/>
        <w:t>（二）《评估业务约定书》复印件；</w:t>
      </w:r>
    </w:p>
    <w:p>
      <w:pPr>
        <w:pStyle w:val="BodyText"/>
        <w:spacing w:line="240" w:lineRule="auto" w:before="178"/>
        <w:ind w:left="538" w:right="0"/>
        <w:jc w:val="left"/>
      </w:pPr>
      <w:r>
        <w:rPr/>
        <w:t>（三）被评估单位营业执照复印件；</w:t>
      </w:r>
    </w:p>
    <w:p>
      <w:pPr>
        <w:pStyle w:val="BodyText"/>
        <w:spacing w:line="240" w:lineRule="auto" w:before="178"/>
        <w:ind w:left="538" w:right="0"/>
        <w:jc w:val="left"/>
      </w:pPr>
      <w:r>
        <w:rPr/>
        <w:t>（四）评估对象涉及的主要权属证明资料；</w:t>
      </w:r>
    </w:p>
    <w:p>
      <w:pPr>
        <w:pStyle w:val="BodyText"/>
        <w:spacing w:line="240" w:lineRule="auto" w:before="178"/>
        <w:ind w:left="538" w:right="0"/>
        <w:jc w:val="left"/>
        <w:rPr>
          <w:rFonts w:ascii="宋体" w:hAnsi="宋体" w:cs="宋体" w:eastAsia="宋体"/>
        </w:rPr>
      </w:pPr>
      <w:r>
        <w:rPr/>
        <w:t>（五）</w:t>
      </w:r>
      <w:r>
        <w:rPr>
          <w:rFonts w:ascii="宋体" w:hAnsi="宋体" w:cs="宋体" w:eastAsia="宋体"/>
        </w:rPr>
        <w:t>评估机构承诺函；</w:t>
      </w:r>
    </w:p>
    <w:p>
      <w:pPr>
        <w:pStyle w:val="BodyText"/>
        <w:spacing w:line="240" w:lineRule="auto" w:before="178"/>
        <w:ind w:left="538" w:right="0"/>
        <w:jc w:val="left"/>
      </w:pPr>
      <w:r>
        <w:rPr/>
        <w:t>（六）产权持有者承诺函；</w:t>
      </w:r>
    </w:p>
    <w:p>
      <w:pPr>
        <w:pStyle w:val="BodyText"/>
        <w:spacing w:line="240" w:lineRule="auto" w:before="178"/>
        <w:ind w:left="538" w:right="0"/>
        <w:jc w:val="left"/>
      </w:pPr>
      <w:r>
        <w:rPr/>
        <w:t>（七）评估机构营业执照复印件；</w:t>
      </w:r>
    </w:p>
    <w:p>
      <w:pPr>
        <w:pStyle w:val="BodyText"/>
        <w:spacing w:line="240" w:lineRule="auto" w:before="178"/>
        <w:ind w:left="538" w:right="0"/>
        <w:jc w:val="left"/>
      </w:pPr>
      <w:r>
        <w:rPr/>
        <w:t>（八）评估机构资产评估资格备案公告复印件；</w:t>
      </w:r>
    </w:p>
    <w:p>
      <w:pPr>
        <w:pStyle w:val="BodyText"/>
        <w:spacing w:line="240" w:lineRule="auto" w:before="178"/>
        <w:ind w:left="538" w:right="0"/>
        <w:jc w:val="left"/>
      </w:pPr>
      <w:r>
        <w:rPr/>
        <w:t>（九）签名资产评估师职业资格证书登记卡复印件。</w:t>
      </w:r>
    </w:p>
    <w:p>
      <w:pPr>
        <w:spacing w:after="0" w:line="240" w:lineRule="auto"/>
        <w:jc w:val="left"/>
        <w:sectPr>
          <w:pgSz w:w="11910" w:h="16840"/>
          <w:pgMar w:header="878" w:footer="1196" w:top="1100" w:bottom="1380" w:left="1300" w:right="130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12"/>
          <w:szCs w:val="12"/>
        </w:rPr>
      </w:pPr>
    </w:p>
    <w:p>
      <w:pPr>
        <w:spacing w:line="11538" w:lineRule="exact"/>
        <w:ind w:left="538" w:right="0" w:firstLine="0"/>
        <w:rPr>
          <w:rFonts w:ascii="Times New Roman" w:hAnsi="Times New Roman" w:cs="Times New Roman" w:eastAsia="Times New Roman"/>
          <w:sz w:val="20"/>
          <w:szCs w:val="20"/>
        </w:rPr>
      </w:pPr>
      <w:r>
        <w:rPr>
          <w:rFonts w:ascii="Times New Roman" w:hAnsi="Times New Roman" w:cs="Times New Roman" w:eastAsia="Times New Roman"/>
          <w:position w:val="-230"/>
          <w:sz w:val="20"/>
          <w:szCs w:val="20"/>
        </w:rPr>
        <w:drawing>
          <wp:inline distT="0" distB="0" distL="0" distR="0">
            <wp:extent cx="5187965" cy="7326915"/>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8" cstate="print"/>
                    <a:stretch>
                      <a:fillRect/>
                    </a:stretch>
                  </pic:blipFill>
                  <pic:spPr>
                    <a:xfrm>
                      <a:off x="0" y="0"/>
                      <a:ext cx="5187965" cy="7326915"/>
                    </a:xfrm>
                    <a:prstGeom prst="rect">
                      <a:avLst/>
                    </a:prstGeom>
                  </pic:spPr>
                </pic:pic>
              </a:graphicData>
            </a:graphic>
          </wp:inline>
        </w:drawing>
      </w:r>
      <w:r>
        <w:rPr>
          <w:rFonts w:ascii="Times New Roman" w:hAnsi="Times New Roman" w:cs="Times New Roman" w:eastAsia="Times New Roman"/>
          <w:position w:val="-230"/>
          <w:sz w:val="20"/>
          <w:szCs w:val="20"/>
        </w:rPr>
      </w:r>
    </w:p>
    <w:p>
      <w:pPr>
        <w:spacing w:after="0" w:line="11538" w:lineRule="exact"/>
        <w:rPr>
          <w:rFonts w:ascii="Times New Roman" w:hAnsi="Times New Roman" w:cs="Times New Roman" w:eastAsia="Times New Roman"/>
          <w:sz w:val="20"/>
          <w:szCs w:val="20"/>
        </w:rPr>
        <w:sectPr>
          <w:pgSz w:w="11910" w:h="16840"/>
          <w:pgMar w:header="878" w:footer="1196" w:top="1100" w:bottom="1380" w:left="1300" w:right="130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12"/>
          <w:szCs w:val="12"/>
        </w:rPr>
      </w:pPr>
    </w:p>
    <w:p>
      <w:pPr>
        <w:spacing w:line="12084" w:lineRule="exact"/>
        <w:ind w:left="310" w:right="0" w:firstLine="0"/>
        <w:rPr>
          <w:rFonts w:ascii="Times New Roman" w:hAnsi="Times New Roman" w:cs="Times New Roman" w:eastAsia="Times New Roman"/>
          <w:sz w:val="20"/>
          <w:szCs w:val="20"/>
        </w:rPr>
      </w:pPr>
      <w:r>
        <w:rPr>
          <w:rFonts w:ascii="Times New Roman" w:hAnsi="Times New Roman" w:cs="Times New Roman" w:eastAsia="Times New Roman"/>
          <w:position w:val="-241"/>
          <w:sz w:val="20"/>
          <w:szCs w:val="20"/>
        </w:rPr>
        <w:drawing>
          <wp:inline distT="0" distB="0" distL="0" distR="0">
            <wp:extent cx="5452110" cy="7673340"/>
            <wp:effectExtent l="0" t="0" r="0" b="0"/>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9" cstate="print"/>
                    <a:stretch>
                      <a:fillRect/>
                    </a:stretch>
                  </pic:blipFill>
                  <pic:spPr>
                    <a:xfrm>
                      <a:off x="0" y="0"/>
                      <a:ext cx="5452110" cy="7673340"/>
                    </a:xfrm>
                    <a:prstGeom prst="rect">
                      <a:avLst/>
                    </a:prstGeom>
                  </pic:spPr>
                </pic:pic>
              </a:graphicData>
            </a:graphic>
          </wp:inline>
        </w:drawing>
      </w:r>
      <w:r>
        <w:rPr>
          <w:rFonts w:ascii="Times New Roman" w:hAnsi="Times New Roman" w:cs="Times New Roman" w:eastAsia="Times New Roman"/>
          <w:position w:val="-241"/>
          <w:sz w:val="20"/>
          <w:szCs w:val="20"/>
        </w:rPr>
      </w:r>
    </w:p>
    <w:p>
      <w:pPr>
        <w:spacing w:after="0" w:line="12084" w:lineRule="exact"/>
        <w:rPr>
          <w:rFonts w:ascii="Times New Roman" w:hAnsi="Times New Roman" w:cs="Times New Roman" w:eastAsia="Times New Roman"/>
          <w:sz w:val="20"/>
          <w:szCs w:val="20"/>
        </w:rPr>
        <w:sectPr>
          <w:pgSz w:w="11910" w:h="16840"/>
          <w:pgMar w:header="878" w:footer="1196" w:top="1100" w:bottom="1380" w:left="1300" w:right="1300"/>
        </w:sectPr>
      </w:pPr>
    </w:p>
    <w:p>
      <w:pPr>
        <w:spacing w:line="240" w:lineRule="auto" w:before="11"/>
        <w:rPr>
          <w:rFonts w:ascii="Times New Roman" w:hAnsi="Times New Roman" w:cs="Times New Roman" w:eastAsia="Times New Roman"/>
          <w:sz w:val="27"/>
          <w:szCs w:val="27"/>
        </w:rPr>
      </w:pPr>
    </w:p>
    <w:p>
      <w:pPr>
        <w:spacing w:line="12052" w:lineRule="exact"/>
        <w:ind w:left="298" w:right="0" w:firstLine="0"/>
        <w:rPr>
          <w:rFonts w:ascii="Times New Roman" w:hAnsi="Times New Roman" w:cs="Times New Roman" w:eastAsia="Times New Roman"/>
          <w:sz w:val="20"/>
          <w:szCs w:val="20"/>
        </w:rPr>
      </w:pPr>
      <w:r>
        <w:rPr>
          <w:rFonts w:ascii="Times New Roman" w:hAnsi="Times New Roman" w:cs="Times New Roman" w:eastAsia="Times New Roman"/>
          <w:position w:val="-240"/>
          <w:sz w:val="20"/>
          <w:szCs w:val="20"/>
        </w:rPr>
        <w:drawing>
          <wp:inline distT="0" distB="0" distL="0" distR="0">
            <wp:extent cx="5457078" cy="7653147"/>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20" cstate="print"/>
                    <a:stretch>
                      <a:fillRect/>
                    </a:stretch>
                  </pic:blipFill>
                  <pic:spPr>
                    <a:xfrm>
                      <a:off x="0" y="0"/>
                      <a:ext cx="5457078" cy="7653147"/>
                    </a:xfrm>
                    <a:prstGeom prst="rect">
                      <a:avLst/>
                    </a:prstGeom>
                  </pic:spPr>
                </pic:pic>
              </a:graphicData>
            </a:graphic>
          </wp:inline>
        </w:drawing>
      </w:r>
      <w:r>
        <w:rPr>
          <w:rFonts w:ascii="Times New Roman" w:hAnsi="Times New Roman" w:cs="Times New Roman" w:eastAsia="Times New Roman"/>
          <w:position w:val="-240"/>
          <w:sz w:val="20"/>
          <w:szCs w:val="20"/>
        </w:rPr>
      </w:r>
    </w:p>
    <w:p>
      <w:pPr>
        <w:spacing w:after="0" w:line="12052" w:lineRule="exact"/>
        <w:rPr>
          <w:rFonts w:ascii="Times New Roman" w:hAnsi="Times New Roman" w:cs="Times New Roman" w:eastAsia="Times New Roman"/>
          <w:sz w:val="20"/>
          <w:szCs w:val="20"/>
        </w:rPr>
        <w:sectPr>
          <w:pgSz w:w="11910" w:h="16840"/>
          <w:pgMar w:header="878" w:footer="1196" w:top="1100" w:bottom="1380" w:left="1300" w:right="1300"/>
        </w:sectPr>
      </w:pPr>
    </w:p>
    <w:p>
      <w:pPr>
        <w:spacing w:line="240" w:lineRule="auto" w:before="11"/>
        <w:rPr>
          <w:rFonts w:ascii="Times New Roman" w:hAnsi="Times New Roman" w:cs="Times New Roman" w:eastAsia="Times New Roman"/>
          <w:sz w:val="27"/>
          <w:szCs w:val="27"/>
        </w:rPr>
      </w:pPr>
    </w:p>
    <w:p>
      <w:pPr>
        <w:spacing w:line="11776" w:lineRule="exact"/>
        <w:ind w:left="538" w:right="0" w:firstLine="0"/>
        <w:rPr>
          <w:rFonts w:ascii="Times New Roman" w:hAnsi="Times New Roman" w:cs="Times New Roman" w:eastAsia="Times New Roman"/>
          <w:sz w:val="20"/>
          <w:szCs w:val="20"/>
        </w:rPr>
      </w:pPr>
      <w:r>
        <w:rPr>
          <w:rFonts w:ascii="Times New Roman" w:hAnsi="Times New Roman" w:cs="Times New Roman" w:eastAsia="Times New Roman"/>
          <w:position w:val="-235"/>
          <w:sz w:val="20"/>
          <w:szCs w:val="20"/>
        </w:rPr>
        <w:drawing>
          <wp:inline distT="0" distB="0" distL="0" distR="0">
            <wp:extent cx="5212500" cy="7477886"/>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21" cstate="print"/>
                    <a:stretch>
                      <a:fillRect/>
                    </a:stretch>
                  </pic:blipFill>
                  <pic:spPr>
                    <a:xfrm>
                      <a:off x="0" y="0"/>
                      <a:ext cx="5212500" cy="7477886"/>
                    </a:xfrm>
                    <a:prstGeom prst="rect">
                      <a:avLst/>
                    </a:prstGeom>
                  </pic:spPr>
                </pic:pic>
              </a:graphicData>
            </a:graphic>
          </wp:inline>
        </w:drawing>
      </w:r>
      <w:r>
        <w:rPr>
          <w:rFonts w:ascii="Times New Roman" w:hAnsi="Times New Roman" w:cs="Times New Roman" w:eastAsia="Times New Roman"/>
          <w:position w:val="-235"/>
          <w:sz w:val="20"/>
          <w:szCs w:val="20"/>
        </w:rPr>
      </w:r>
    </w:p>
    <w:p>
      <w:pPr>
        <w:spacing w:after="0" w:line="11776" w:lineRule="exact"/>
        <w:rPr>
          <w:rFonts w:ascii="Times New Roman" w:hAnsi="Times New Roman" w:cs="Times New Roman" w:eastAsia="Times New Roman"/>
          <w:sz w:val="20"/>
          <w:szCs w:val="20"/>
        </w:rPr>
        <w:sectPr>
          <w:pgSz w:w="11910" w:h="16840"/>
          <w:pgMar w:header="878" w:footer="1196" w:top="1100" w:bottom="1380" w:left="1300" w:right="1300"/>
        </w:sectPr>
      </w:pPr>
    </w:p>
    <w:p>
      <w:pPr>
        <w:spacing w:line="240" w:lineRule="auto" w:before="11"/>
        <w:rPr>
          <w:rFonts w:ascii="Times New Roman" w:hAnsi="Times New Roman" w:cs="Times New Roman" w:eastAsia="Times New Roman"/>
          <w:sz w:val="27"/>
          <w:szCs w:val="27"/>
        </w:rPr>
      </w:pPr>
    </w:p>
    <w:p>
      <w:pPr>
        <w:spacing w:line="11776" w:lineRule="exact"/>
        <w:ind w:left="538" w:right="0" w:firstLine="0"/>
        <w:rPr>
          <w:rFonts w:ascii="Times New Roman" w:hAnsi="Times New Roman" w:cs="Times New Roman" w:eastAsia="Times New Roman"/>
          <w:sz w:val="20"/>
          <w:szCs w:val="20"/>
        </w:rPr>
      </w:pPr>
      <w:r>
        <w:rPr>
          <w:rFonts w:ascii="Times New Roman" w:hAnsi="Times New Roman" w:cs="Times New Roman" w:eastAsia="Times New Roman"/>
          <w:position w:val="-235"/>
          <w:sz w:val="20"/>
          <w:szCs w:val="20"/>
        </w:rPr>
        <w:drawing>
          <wp:inline distT="0" distB="0" distL="0" distR="0">
            <wp:extent cx="5211176" cy="7477886"/>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22" cstate="print"/>
                    <a:stretch>
                      <a:fillRect/>
                    </a:stretch>
                  </pic:blipFill>
                  <pic:spPr>
                    <a:xfrm>
                      <a:off x="0" y="0"/>
                      <a:ext cx="5211176" cy="7477886"/>
                    </a:xfrm>
                    <a:prstGeom prst="rect">
                      <a:avLst/>
                    </a:prstGeom>
                  </pic:spPr>
                </pic:pic>
              </a:graphicData>
            </a:graphic>
          </wp:inline>
        </w:drawing>
      </w:r>
      <w:r>
        <w:rPr>
          <w:rFonts w:ascii="Times New Roman" w:hAnsi="Times New Roman" w:cs="Times New Roman" w:eastAsia="Times New Roman"/>
          <w:position w:val="-235"/>
          <w:sz w:val="20"/>
          <w:szCs w:val="20"/>
        </w:rPr>
      </w:r>
    </w:p>
    <w:sectPr>
      <w:pgSz w:w="11910" w:h="16840"/>
      <w:pgMar w:header="878" w:footer="1196" w:top="1100" w:bottom="13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楷体">
    <w:altName w:val="楷体"/>
    <w:charset w:val="86"/>
    <w:family w:val="modern"/>
    <w:pitch w:val="fixed"/>
  </w:font>
  <w:font w:name="仿宋">
    <w:altName w:val="仿宋"/>
    <w:charset w:val="86"/>
    <w:family w:val="modern"/>
    <w:pitch w:val="fixed"/>
  </w:font>
  <w:font w:name="Calibri">
    <w:altName w:val="Calibri"/>
    <w:charset w:val="0"/>
    <w:family w:val="swiss"/>
    <w:pitch w:val="variable"/>
  </w:font>
  <w:font w:name="Microsoft JhengHei">
    <w:altName w:val="Microsoft JhengHei"/>
    <w:charset w:val="0"/>
    <w:family w:val="swiss"/>
    <w:pitch w:val="variable"/>
  </w:font>
  <w:font w:name="宋体">
    <w:altName w:val="宋体"/>
    <w:charset w:val="86"/>
    <w:family w:val="auto"/>
    <w:pitch w:val="variable"/>
  </w:font>
  <w:font w:name="Wingdings">
    <w:altName w:val="Wingdings"/>
    <w:charset w:val="2"/>
    <w:family w:val="auto"/>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320007pt;margin-top:771.100037pt;width:8.6pt;height:11pt;mso-position-horizontal-relative:page;mso-position-vertical-relative:page;z-index:-35752" type="#_x0000_t202" filled="false" stroked="false">
          <v:textbox inset="0,0,0,0">
            <w:txbxContent>
              <w:p>
                <w:pPr>
                  <w:spacing w:line="203" w:lineRule="exact" w:before="0"/>
                  <w:ind w:left="40" w:right="0" w:firstLine="0"/>
                  <w:jc w:val="left"/>
                  <w:rPr>
                    <w:rFonts w:ascii="Calibri" w:hAnsi="Calibri" w:cs="Calibri" w:eastAsia="Calibri"/>
                    <w:sz w:val="18"/>
                    <w:szCs w:val="18"/>
                  </w:rPr>
                </w:pPr>
                <w:r>
                  <w:rPr>
                    <w:rFonts w:ascii="Calibri"/>
                    <w:w w:val="99"/>
                    <w:sz w:val="18"/>
                  </w:rPr>
                </w:r>
                <w:r>
                  <w:rPr/>
                  <w:fldChar w:fldCharType="begin"/>
                </w:r>
                <w:r>
                  <w:rPr>
                    <w:rFonts w:ascii="Calibri"/>
                    <w:w w:val="99"/>
                    <w:sz w:val="18"/>
                  </w:rPr>
                  <w:instrText> PAGE </w:instrText>
                </w:r>
                <w:r>
                  <w:rPr/>
                  <w:fldChar w:fldCharType="separate"/>
                </w:r>
                <w:r>
                  <w:rPr/>
                  <w:t>1</w:t>
                </w:r>
                <w:r>
                  <w:rPr/>
                  <w:fldChar w:fldCharType="end"/>
                </w:r>
                <w:r>
                  <w:rPr>
                    <w:rFonts w:ascii="Calibri"/>
                    <w:sz w:val="18"/>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320007pt;margin-top:771.100037pt;width:8.6pt;height:11pt;mso-position-horizontal-relative:page;mso-position-vertical-relative:page;z-index:-35728" type="#_x0000_t202" filled="false" stroked="false">
          <v:textbox inset="0,0,0,0">
            <w:txbxContent>
              <w:p>
                <w:pPr>
                  <w:spacing w:line="203" w:lineRule="exact" w:before="0"/>
                  <w:ind w:left="40" w:right="0" w:firstLine="0"/>
                  <w:jc w:val="left"/>
                  <w:rPr>
                    <w:rFonts w:ascii="Calibri" w:hAnsi="Calibri" w:cs="Calibri" w:eastAsia="Calibri"/>
                    <w:sz w:val="18"/>
                    <w:szCs w:val="18"/>
                  </w:rPr>
                </w:pPr>
                <w:r>
                  <w:rPr>
                    <w:rFonts w:ascii="Calibri"/>
                    <w:w w:val="99"/>
                    <w:sz w:val="18"/>
                  </w:rPr>
                </w:r>
                <w:r>
                  <w:rPr/>
                  <w:fldChar w:fldCharType="begin"/>
                </w:r>
                <w:r>
                  <w:rPr>
                    <w:rFonts w:ascii="Calibri"/>
                    <w:w w:val="99"/>
                    <w:sz w:val="18"/>
                  </w:rPr>
                  <w:instrText> PAGE </w:instrText>
                </w:r>
                <w:r>
                  <w:rPr/>
                  <w:fldChar w:fldCharType="separate"/>
                </w:r>
                <w:r>
                  <w:rPr/>
                  <w:t>6</w:t>
                </w:r>
                <w:r>
                  <w:rPr/>
                  <w:fldChar w:fldCharType="end"/>
                </w:r>
                <w:r>
                  <w:rPr>
                    <w:rFonts w:ascii="Calibri"/>
                    <w:sz w:val="18"/>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040009pt;margin-top:771.100037pt;width:13.15pt;height:11pt;mso-position-horizontal-relative:page;mso-position-vertical-relative:page;z-index:-35704" type="#_x0000_t202" filled="false" stroked="false">
          <v:textbox inset="0,0,0,0">
            <w:txbxContent>
              <w:p>
                <w:pPr>
                  <w:spacing w:line="203" w:lineRule="exact" w:before="0"/>
                  <w:ind w:left="40" w:right="0" w:firstLine="0"/>
                  <w:jc w:val="left"/>
                  <w:rPr>
                    <w:rFonts w:ascii="Calibri" w:hAnsi="Calibri" w:cs="Calibri" w:eastAsia="Calibri"/>
                    <w:sz w:val="18"/>
                    <w:szCs w:val="18"/>
                  </w:rPr>
                </w:pPr>
                <w:r>
                  <w:rPr>
                    <w:rFonts w:ascii="Calibri"/>
                    <w:w w:val="99"/>
                    <w:sz w:val="18"/>
                  </w:rPr>
                </w:r>
                <w:r>
                  <w:rPr/>
                  <w:fldChar w:fldCharType="begin"/>
                </w:r>
                <w:r>
                  <w:rPr>
                    <w:rFonts w:ascii="Calibri"/>
                    <w:w w:val="99"/>
                    <w:sz w:val="18"/>
                  </w:rPr>
                  <w:instrText> PAGE </w:instrText>
                </w:r>
                <w:r>
                  <w:rPr/>
                  <w:fldChar w:fldCharType="separate"/>
                </w:r>
                <w:r>
                  <w:rPr/>
                  <w:t>10</w:t>
                </w:r>
                <w:r>
                  <w:rPr/>
                  <w:fldChar w:fldCharType="end"/>
                </w:r>
                <w:r>
                  <w:rPr>
                    <w:rFonts w:ascii="Calibri"/>
                    <w:w w:val="99"/>
                    <w:sz w:val="18"/>
                  </w:rPr>
                </w:r>
                <w:r>
                  <w:rPr>
                    <w:rFonts w:ascii="Calibri"/>
                    <w:sz w:val="18"/>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040009pt;margin-top:771.100037pt;width:13.15pt;height:11pt;mso-position-horizontal-relative:page;mso-position-vertical-relative:page;z-index:-35680" type="#_x0000_t202" filled="false" stroked="false">
          <v:textbox inset="0,0,0,0">
            <w:txbxContent>
              <w:p>
                <w:pPr>
                  <w:spacing w:line="203" w:lineRule="exact" w:before="0"/>
                  <w:ind w:left="40" w:right="0" w:firstLine="0"/>
                  <w:jc w:val="left"/>
                  <w:rPr>
                    <w:rFonts w:ascii="Calibri" w:hAnsi="Calibri" w:cs="Calibri" w:eastAsia="Calibri"/>
                    <w:sz w:val="18"/>
                    <w:szCs w:val="18"/>
                  </w:rPr>
                </w:pPr>
                <w:r>
                  <w:rPr>
                    <w:rFonts w:ascii="Calibri"/>
                    <w:w w:val="99"/>
                    <w:sz w:val="18"/>
                  </w:rPr>
                </w:r>
                <w:r>
                  <w:rPr/>
                  <w:fldChar w:fldCharType="begin"/>
                </w:r>
                <w:r>
                  <w:rPr>
                    <w:rFonts w:ascii="Calibri"/>
                    <w:w w:val="99"/>
                    <w:sz w:val="18"/>
                  </w:rPr>
                  <w:instrText> PAGE </w:instrText>
                </w:r>
                <w:r>
                  <w:rPr/>
                  <w:fldChar w:fldCharType="separate"/>
                </w:r>
                <w:r>
                  <w:rPr/>
                  <w:t>20</w:t>
                </w:r>
                <w:r>
                  <w:rPr/>
                  <w:fldChar w:fldCharType="end"/>
                </w:r>
                <w:r>
                  <w:rPr>
                    <w:rFonts w:ascii="Calibri"/>
                    <w:w w:val="99"/>
                    <w:sz w:val="18"/>
                  </w:rPr>
                </w:r>
                <w:r>
                  <w:rPr>
                    <w:rFonts w:ascii="Calibri"/>
                    <w:sz w:val="1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040009pt;margin-top:771.100037pt;width:13.15pt;height:11pt;mso-position-horizontal-relative:page;mso-position-vertical-relative:page;z-index:-35656" type="#_x0000_t202" filled="false" stroked="false">
          <v:textbox inset="0,0,0,0">
            <w:txbxContent>
              <w:p>
                <w:pPr>
                  <w:spacing w:line="203" w:lineRule="exact" w:before="0"/>
                  <w:ind w:left="40" w:right="0" w:firstLine="0"/>
                  <w:jc w:val="left"/>
                  <w:rPr>
                    <w:rFonts w:ascii="Calibri" w:hAnsi="Calibri" w:cs="Calibri" w:eastAsia="Calibri"/>
                    <w:sz w:val="18"/>
                    <w:szCs w:val="18"/>
                  </w:rPr>
                </w:pPr>
                <w:r>
                  <w:rPr>
                    <w:rFonts w:ascii="Calibri"/>
                    <w:w w:val="99"/>
                    <w:sz w:val="18"/>
                  </w:rPr>
                </w:r>
                <w:r>
                  <w:rPr/>
                  <w:fldChar w:fldCharType="begin"/>
                </w:r>
                <w:r>
                  <w:rPr>
                    <w:rFonts w:ascii="Calibri"/>
                    <w:w w:val="99"/>
                    <w:sz w:val="18"/>
                  </w:rPr>
                  <w:instrText> PAGE </w:instrText>
                </w:r>
                <w:r>
                  <w:rPr/>
                  <w:fldChar w:fldCharType="separate"/>
                </w:r>
                <w:r>
                  <w:rPr/>
                  <w:t>30</w:t>
                </w:r>
                <w:r>
                  <w:rPr/>
                  <w:fldChar w:fldCharType="end"/>
                </w:r>
                <w:r>
                  <w:rPr>
                    <w:rFonts w:ascii="Calibri"/>
                    <w:w w:val="99"/>
                    <w:sz w:val="18"/>
                  </w:rPr>
                </w:r>
                <w:r>
                  <w:rPr>
                    <w:rFonts w:ascii="Calibri"/>
                    <w:sz w:val="18"/>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900002pt;margin-top:55.560024pt;width:453.5pt;height:.1pt;mso-position-horizontal-relative:page;mso-position-vertical-relative:page;z-index:-35824" coordorigin="1418,1111" coordsize="9070,2">
          <v:shape style="position:absolute;left:1418;top:1111;width:9070;height:2" coordorigin="1418,1111" coordsize="9070,0" path="m1418,1111l10488,1111e" filled="false" stroked="true" strokeweight=".72pt" strokecolor="#000000">
            <v:path arrowok="t"/>
          </v:shape>
          <w10:wrap type="none"/>
        </v:group>
      </w:pict>
    </w:r>
    <w:r>
      <w:rPr/>
      <w:pict>
        <v:shapetype id="_x0000_t202" o:spt="202" coordsize="21600,21600" path="m,l,21600r21600,l21600,xe">
          <v:stroke joinstyle="miter"/>
          <v:path gradientshapeok="t" o:connecttype="rect"/>
        </v:shapetype>
        <v:shape style="position:absolute;margin-left:69.514999pt;margin-top:42.915649pt;width:185.25pt;height:11.4pt;mso-position-horizontal-relative:page;mso-position-vertical-relative:page;z-index:-35800" type="#_x0000_t202" filled="false" stroked="false">
          <v:textbox inset="0,0,0,0">
            <w:txbxContent>
              <w:p>
                <w:pPr>
                  <w:spacing w:line="209" w:lineRule="exact" w:before="0"/>
                  <w:ind w:left="20" w:right="0" w:firstLine="0"/>
                  <w:jc w:val="left"/>
                  <w:rPr>
                    <w:rFonts w:ascii="楷体" w:hAnsi="楷体" w:cs="楷体" w:eastAsia="楷体"/>
                    <w:sz w:val="19"/>
                    <w:szCs w:val="19"/>
                  </w:rPr>
                </w:pPr>
                <w:r>
                  <w:rPr>
                    <w:rFonts w:ascii="楷体" w:hAnsi="楷体" w:cs="楷体" w:eastAsia="楷体"/>
                    <w:i/>
                    <w:w w:val="94"/>
                    <w:position w:val="1"/>
                    <w:sz w:val="19"/>
                    <w:szCs w:val="19"/>
                  </w:rPr>
                </w:r>
                <w:r>
                  <w:rPr>
                    <w:rFonts w:ascii="楷体" w:hAnsi="楷体" w:cs="楷体" w:eastAsia="楷体"/>
                    <w:i/>
                    <w:shadow/>
                    <w:spacing w:val="-58"/>
                    <w:w w:val="94"/>
                    <w:position w:val="1"/>
                    <w:sz w:val="19"/>
                    <w:szCs w:val="19"/>
                  </w:rPr>
                  <w:t>江</w:t>
                </w:r>
                <w:r>
                  <w:rPr>
                    <w:rFonts w:ascii="楷体" w:hAnsi="楷体" w:cs="楷体" w:eastAsia="楷体"/>
                    <w:i/>
                    <w:shadow w:val="0"/>
                    <w:spacing w:val="-58"/>
                    <w:w w:val="94"/>
                    <w:position w:val="1"/>
                    <w:sz w:val="19"/>
                    <w:szCs w:val="19"/>
                  </w:rPr>
                </w:r>
                <w:r>
                  <w:rPr>
                    <w:rFonts w:ascii="楷体" w:hAnsi="楷体" w:cs="楷体" w:eastAsia="楷体"/>
                    <w:i/>
                    <w:shadow w:val="0"/>
                    <w:spacing w:val="-231"/>
                    <w:w w:val="94"/>
                    <w:position w:val="1"/>
                    <w:sz w:val="19"/>
                    <w:szCs w:val="19"/>
                  </w:rPr>
                  <w:t>苏</w:t>
                </w:r>
                <w:r>
                  <w:rPr>
                    <w:rFonts w:ascii="楷体" w:hAnsi="楷体" w:cs="楷体" w:eastAsia="楷体"/>
                    <w:i/>
                    <w:shadow w:val="0"/>
                    <w:color w:val="C0C0C0"/>
                    <w:spacing w:val="-65"/>
                    <w:w w:val="94"/>
                    <w:sz w:val="19"/>
                    <w:szCs w:val="19"/>
                  </w:rPr>
                  <w:t>苏</w:t>
                </w:r>
                <w:r>
                  <w:rPr>
                    <w:rFonts w:ascii="楷体" w:hAnsi="楷体" w:cs="楷体" w:eastAsia="楷体"/>
                    <w:i/>
                    <w:shadow w:val="0"/>
                    <w:spacing w:val="-231"/>
                    <w:w w:val="94"/>
                    <w:position w:val="1"/>
                    <w:sz w:val="19"/>
                    <w:szCs w:val="19"/>
                  </w:rPr>
                  <w:t>金</w:t>
                </w:r>
                <w:r>
                  <w:rPr>
                    <w:rFonts w:ascii="楷体" w:hAnsi="楷体" w:cs="楷体" w:eastAsia="楷体"/>
                    <w:i/>
                    <w:shadow w:val="0"/>
                    <w:color w:val="C0C0C0"/>
                    <w:spacing w:val="-65"/>
                    <w:w w:val="94"/>
                    <w:sz w:val="19"/>
                    <w:szCs w:val="19"/>
                  </w:rPr>
                  <w:t>金</w:t>
                </w:r>
                <w:r>
                  <w:rPr>
                    <w:rFonts w:ascii="楷体" w:hAnsi="楷体" w:cs="楷体" w:eastAsia="楷体"/>
                    <w:i/>
                    <w:shadow w:val="0"/>
                    <w:spacing w:val="-231"/>
                    <w:w w:val="94"/>
                    <w:position w:val="1"/>
                    <w:sz w:val="19"/>
                    <w:szCs w:val="19"/>
                  </w:rPr>
                  <w:t>汇</w:t>
                </w:r>
                <w:r>
                  <w:rPr>
                    <w:rFonts w:ascii="楷体" w:hAnsi="楷体" w:cs="楷体" w:eastAsia="楷体"/>
                    <w:i/>
                    <w:shadow w:val="0"/>
                    <w:color w:val="C0C0C0"/>
                    <w:spacing w:val="-65"/>
                    <w:w w:val="94"/>
                    <w:sz w:val="19"/>
                    <w:szCs w:val="19"/>
                  </w:rPr>
                  <w:t>汇</w:t>
                </w:r>
                <w:r>
                  <w:rPr>
                    <w:rFonts w:ascii="楷体" w:hAnsi="楷体" w:cs="楷体" w:eastAsia="楷体"/>
                    <w:i/>
                    <w:shadow w:val="0"/>
                    <w:spacing w:val="-231"/>
                    <w:w w:val="94"/>
                    <w:position w:val="1"/>
                    <w:sz w:val="19"/>
                    <w:szCs w:val="19"/>
                  </w:rPr>
                  <w:t>通</w:t>
                </w:r>
                <w:r>
                  <w:rPr>
                    <w:rFonts w:ascii="楷体" w:hAnsi="楷体" w:cs="楷体" w:eastAsia="楷体"/>
                    <w:i/>
                    <w:shadow w:val="0"/>
                    <w:color w:val="C0C0C0"/>
                    <w:spacing w:val="-65"/>
                    <w:w w:val="94"/>
                    <w:sz w:val="19"/>
                    <w:szCs w:val="19"/>
                  </w:rPr>
                  <w:t>通</w:t>
                </w:r>
                <w:r>
                  <w:rPr>
                    <w:rFonts w:ascii="楷体" w:hAnsi="楷体" w:cs="楷体" w:eastAsia="楷体"/>
                    <w:i/>
                    <w:shadow w:val="0"/>
                    <w:spacing w:val="-231"/>
                    <w:w w:val="94"/>
                    <w:position w:val="1"/>
                    <w:sz w:val="19"/>
                    <w:szCs w:val="19"/>
                  </w:rPr>
                  <w:t>房</w:t>
                </w:r>
                <w:r>
                  <w:rPr>
                    <w:rFonts w:ascii="楷体" w:hAnsi="楷体" w:cs="楷体" w:eastAsia="楷体"/>
                    <w:i/>
                    <w:shadow w:val="0"/>
                    <w:color w:val="C0C0C0"/>
                    <w:spacing w:val="-65"/>
                    <w:w w:val="94"/>
                    <w:sz w:val="19"/>
                    <w:szCs w:val="19"/>
                  </w:rPr>
                  <w:t>房</w:t>
                </w:r>
                <w:r>
                  <w:rPr>
                    <w:rFonts w:ascii="楷体" w:hAnsi="楷体" w:cs="楷体" w:eastAsia="楷体"/>
                    <w:i/>
                    <w:shadow w:val="0"/>
                    <w:spacing w:val="-231"/>
                    <w:w w:val="94"/>
                    <w:position w:val="1"/>
                    <w:sz w:val="19"/>
                    <w:szCs w:val="19"/>
                  </w:rPr>
                  <w:t>地</w:t>
                </w:r>
                <w:r>
                  <w:rPr>
                    <w:rFonts w:ascii="楷体" w:hAnsi="楷体" w:cs="楷体" w:eastAsia="楷体"/>
                    <w:i/>
                    <w:shadow w:val="0"/>
                    <w:color w:val="C0C0C0"/>
                    <w:spacing w:val="-65"/>
                    <w:w w:val="94"/>
                    <w:sz w:val="19"/>
                    <w:szCs w:val="19"/>
                  </w:rPr>
                  <w:t>地</w:t>
                </w:r>
                <w:r>
                  <w:rPr>
                    <w:rFonts w:ascii="楷体" w:hAnsi="楷体" w:cs="楷体" w:eastAsia="楷体"/>
                    <w:i/>
                    <w:shadow w:val="0"/>
                    <w:spacing w:val="-231"/>
                    <w:w w:val="94"/>
                    <w:position w:val="1"/>
                    <w:sz w:val="19"/>
                    <w:szCs w:val="19"/>
                  </w:rPr>
                  <w:t>产</w:t>
                </w:r>
                <w:r>
                  <w:rPr>
                    <w:rFonts w:ascii="楷体" w:hAnsi="楷体" w:cs="楷体" w:eastAsia="楷体"/>
                    <w:i/>
                    <w:shadow w:val="0"/>
                    <w:color w:val="C0C0C0"/>
                    <w:spacing w:val="-65"/>
                    <w:w w:val="94"/>
                    <w:sz w:val="19"/>
                    <w:szCs w:val="19"/>
                  </w:rPr>
                  <w:t>产</w:t>
                </w:r>
                <w:r>
                  <w:rPr>
                    <w:rFonts w:ascii="楷体" w:hAnsi="楷体" w:cs="楷体" w:eastAsia="楷体"/>
                    <w:i/>
                    <w:shadow w:val="0"/>
                    <w:spacing w:val="-231"/>
                    <w:w w:val="94"/>
                    <w:position w:val="1"/>
                    <w:sz w:val="19"/>
                    <w:szCs w:val="19"/>
                  </w:rPr>
                  <w:t>资</w:t>
                </w:r>
                <w:r>
                  <w:rPr>
                    <w:rFonts w:ascii="楷体" w:hAnsi="楷体" w:cs="楷体" w:eastAsia="楷体"/>
                    <w:i/>
                    <w:shadow w:val="0"/>
                    <w:color w:val="C0C0C0"/>
                    <w:spacing w:val="-65"/>
                    <w:w w:val="94"/>
                    <w:sz w:val="19"/>
                    <w:szCs w:val="19"/>
                  </w:rPr>
                  <w:t>资</w:t>
                </w:r>
                <w:r>
                  <w:rPr>
                    <w:rFonts w:ascii="楷体" w:hAnsi="楷体" w:cs="楷体" w:eastAsia="楷体"/>
                    <w:i/>
                    <w:shadow w:val="0"/>
                    <w:spacing w:val="-231"/>
                    <w:w w:val="94"/>
                    <w:position w:val="1"/>
                    <w:sz w:val="19"/>
                    <w:szCs w:val="19"/>
                  </w:rPr>
                  <w:t>产</w:t>
                </w:r>
                <w:r>
                  <w:rPr>
                    <w:rFonts w:ascii="楷体" w:hAnsi="楷体" w:cs="楷体" w:eastAsia="楷体"/>
                    <w:i/>
                    <w:shadow w:val="0"/>
                    <w:color w:val="C0C0C0"/>
                    <w:spacing w:val="-65"/>
                    <w:w w:val="94"/>
                    <w:sz w:val="19"/>
                    <w:szCs w:val="19"/>
                  </w:rPr>
                  <w:t>产</w:t>
                </w:r>
                <w:r>
                  <w:rPr>
                    <w:rFonts w:ascii="楷体" w:hAnsi="楷体" w:cs="楷体" w:eastAsia="楷体"/>
                    <w:i/>
                    <w:shadow w:val="0"/>
                    <w:spacing w:val="-231"/>
                    <w:w w:val="94"/>
                    <w:position w:val="1"/>
                    <w:sz w:val="19"/>
                    <w:szCs w:val="19"/>
                  </w:rPr>
                  <w:t>评</w:t>
                </w:r>
                <w:r>
                  <w:rPr>
                    <w:rFonts w:ascii="楷体" w:hAnsi="楷体" w:cs="楷体" w:eastAsia="楷体"/>
                    <w:i/>
                    <w:shadow w:val="0"/>
                    <w:color w:val="C0C0C0"/>
                    <w:spacing w:val="-65"/>
                    <w:w w:val="94"/>
                    <w:sz w:val="19"/>
                    <w:szCs w:val="19"/>
                  </w:rPr>
                  <w:t>评</w:t>
                </w:r>
                <w:r>
                  <w:rPr>
                    <w:rFonts w:ascii="楷体" w:hAnsi="楷体" w:cs="楷体" w:eastAsia="楷体"/>
                    <w:i/>
                    <w:shadow w:val="0"/>
                    <w:spacing w:val="-231"/>
                    <w:w w:val="94"/>
                    <w:position w:val="1"/>
                    <w:sz w:val="19"/>
                    <w:szCs w:val="19"/>
                  </w:rPr>
                  <w:t>估</w:t>
                </w:r>
                <w:r>
                  <w:rPr>
                    <w:rFonts w:ascii="楷体" w:hAnsi="楷体" w:cs="楷体" w:eastAsia="楷体"/>
                    <w:i/>
                    <w:shadow w:val="0"/>
                    <w:color w:val="C0C0C0"/>
                    <w:spacing w:val="-65"/>
                    <w:w w:val="94"/>
                    <w:sz w:val="19"/>
                    <w:szCs w:val="19"/>
                  </w:rPr>
                  <w:t>估</w:t>
                </w:r>
                <w:r>
                  <w:rPr>
                    <w:rFonts w:ascii="楷体" w:hAnsi="楷体" w:cs="楷体" w:eastAsia="楷体"/>
                    <w:i/>
                    <w:shadow w:val="0"/>
                    <w:spacing w:val="-231"/>
                    <w:w w:val="94"/>
                    <w:position w:val="1"/>
                    <w:sz w:val="19"/>
                    <w:szCs w:val="19"/>
                  </w:rPr>
                  <w:t>造</w:t>
                </w:r>
                <w:r>
                  <w:rPr>
                    <w:rFonts w:ascii="楷体" w:hAnsi="楷体" w:cs="楷体" w:eastAsia="楷体"/>
                    <w:i/>
                    <w:shadow w:val="0"/>
                    <w:color w:val="C0C0C0"/>
                    <w:spacing w:val="-65"/>
                    <w:w w:val="94"/>
                    <w:sz w:val="19"/>
                    <w:szCs w:val="19"/>
                  </w:rPr>
                  <w:t>造</w:t>
                </w:r>
                <w:r>
                  <w:rPr>
                    <w:rFonts w:ascii="楷体" w:hAnsi="楷体" w:cs="楷体" w:eastAsia="楷体"/>
                    <w:i/>
                    <w:shadow w:val="0"/>
                    <w:spacing w:val="-231"/>
                    <w:w w:val="94"/>
                    <w:position w:val="1"/>
                    <w:sz w:val="19"/>
                    <w:szCs w:val="19"/>
                  </w:rPr>
                  <w:t>价</w:t>
                </w:r>
                <w:r>
                  <w:rPr>
                    <w:rFonts w:ascii="楷体" w:hAnsi="楷体" w:cs="楷体" w:eastAsia="楷体"/>
                    <w:i/>
                    <w:shadow w:val="0"/>
                    <w:color w:val="C0C0C0"/>
                    <w:spacing w:val="-65"/>
                    <w:w w:val="94"/>
                    <w:sz w:val="19"/>
                    <w:szCs w:val="19"/>
                  </w:rPr>
                  <w:t>价</w:t>
                </w:r>
                <w:r>
                  <w:rPr>
                    <w:rFonts w:ascii="楷体" w:hAnsi="楷体" w:cs="楷体" w:eastAsia="楷体"/>
                    <w:i/>
                    <w:shadow w:val="0"/>
                    <w:spacing w:val="-231"/>
                    <w:w w:val="94"/>
                    <w:position w:val="1"/>
                    <w:sz w:val="19"/>
                    <w:szCs w:val="19"/>
                  </w:rPr>
                  <w:t>咨</w:t>
                </w:r>
                <w:r>
                  <w:rPr>
                    <w:rFonts w:ascii="楷体" w:hAnsi="楷体" w:cs="楷体" w:eastAsia="楷体"/>
                    <w:i/>
                    <w:shadow w:val="0"/>
                    <w:color w:val="C0C0C0"/>
                    <w:spacing w:val="-65"/>
                    <w:w w:val="94"/>
                    <w:sz w:val="19"/>
                    <w:szCs w:val="19"/>
                  </w:rPr>
                  <w:t>咨</w:t>
                </w:r>
                <w:r>
                  <w:rPr>
                    <w:rFonts w:ascii="楷体" w:hAnsi="楷体" w:cs="楷体" w:eastAsia="楷体"/>
                    <w:i/>
                    <w:shadow w:val="0"/>
                    <w:spacing w:val="-231"/>
                    <w:w w:val="94"/>
                    <w:position w:val="1"/>
                    <w:sz w:val="19"/>
                    <w:szCs w:val="19"/>
                  </w:rPr>
                  <w:t>询</w:t>
                </w:r>
                <w:r>
                  <w:rPr>
                    <w:rFonts w:ascii="楷体" w:hAnsi="楷体" w:cs="楷体" w:eastAsia="楷体"/>
                    <w:i/>
                    <w:shadow w:val="0"/>
                    <w:color w:val="C0C0C0"/>
                    <w:spacing w:val="-65"/>
                    <w:w w:val="94"/>
                    <w:sz w:val="19"/>
                    <w:szCs w:val="19"/>
                  </w:rPr>
                  <w:t>询</w:t>
                </w:r>
                <w:r>
                  <w:rPr>
                    <w:rFonts w:ascii="楷体" w:hAnsi="楷体" w:cs="楷体" w:eastAsia="楷体"/>
                    <w:i/>
                    <w:shadow w:val="0"/>
                    <w:spacing w:val="-231"/>
                    <w:w w:val="94"/>
                    <w:position w:val="1"/>
                    <w:sz w:val="19"/>
                    <w:szCs w:val="19"/>
                  </w:rPr>
                  <w:t>有</w:t>
                </w:r>
                <w:r>
                  <w:rPr>
                    <w:rFonts w:ascii="楷体" w:hAnsi="楷体" w:cs="楷体" w:eastAsia="楷体"/>
                    <w:i/>
                    <w:shadow w:val="0"/>
                    <w:color w:val="C0C0C0"/>
                    <w:spacing w:val="-65"/>
                    <w:w w:val="94"/>
                    <w:sz w:val="19"/>
                    <w:szCs w:val="19"/>
                  </w:rPr>
                  <w:t>有</w:t>
                </w:r>
                <w:r>
                  <w:rPr>
                    <w:rFonts w:ascii="楷体" w:hAnsi="楷体" w:cs="楷体" w:eastAsia="楷体"/>
                    <w:i/>
                    <w:shadow w:val="0"/>
                    <w:spacing w:val="-231"/>
                    <w:w w:val="94"/>
                    <w:position w:val="1"/>
                    <w:sz w:val="19"/>
                    <w:szCs w:val="19"/>
                  </w:rPr>
                  <w:t>限</w:t>
                </w:r>
                <w:r>
                  <w:rPr>
                    <w:rFonts w:ascii="楷体" w:hAnsi="楷体" w:cs="楷体" w:eastAsia="楷体"/>
                    <w:i/>
                    <w:shadow w:val="0"/>
                    <w:color w:val="C0C0C0"/>
                    <w:spacing w:val="-65"/>
                    <w:w w:val="94"/>
                    <w:sz w:val="19"/>
                    <w:szCs w:val="19"/>
                  </w:rPr>
                  <w:t>限</w:t>
                </w:r>
                <w:r>
                  <w:rPr>
                    <w:rFonts w:ascii="楷体" w:hAnsi="楷体" w:cs="楷体" w:eastAsia="楷体"/>
                    <w:i/>
                    <w:shadow w:val="0"/>
                    <w:spacing w:val="-231"/>
                    <w:w w:val="94"/>
                    <w:position w:val="1"/>
                    <w:sz w:val="19"/>
                    <w:szCs w:val="19"/>
                  </w:rPr>
                  <w:t>公</w:t>
                </w:r>
                <w:r>
                  <w:rPr>
                    <w:rFonts w:ascii="楷体" w:hAnsi="楷体" w:cs="楷体" w:eastAsia="楷体"/>
                    <w:i/>
                    <w:shadow w:val="0"/>
                    <w:color w:val="C0C0C0"/>
                    <w:spacing w:val="-65"/>
                    <w:w w:val="94"/>
                    <w:sz w:val="19"/>
                    <w:szCs w:val="19"/>
                  </w:rPr>
                  <w:t>公</w:t>
                </w:r>
                <w:r>
                  <w:rPr>
                    <w:rFonts w:ascii="楷体" w:hAnsi="楷体" w:cs="楷体" w:eastAsia="楷体"/>
                    <w:i/>
                    <w:shadow w:val="0"/>
                    <w:spacing w:val="-231"/>
                    <w:w w:val="94"/>
                    <w:position w:val="1"/>
                    <w:sz w:val="19"/>
                    <w:szCs w:val="19"/>
                  </w:rPr>
                  <w:t>司</w:t>
                </w:r>
                <w:r>
                  <w:rPr>
                    <w:rFonts w:ascii="楷体" w:hAnsi="楷体" w:cs="楷体" w:eastAsia="楷体"/>
                    <w:i/>
                    <w:shadow w:val="0"/>
                    <w:color w:val="C0C0C0"/>
                    <w:w w:val="94"/>
                    <w:sz w:val="19"/>
                    <w:szCs w:val="19"/>
                  </w:rPr>
                  <w:t>司</w:t>
                </w:r>
                <w:r>
                  <w:rPr>
                    <w:rFonts w:ascii="楷体" w:hAnsi="楷体" w:cs="楷体" w:eastAsia="楷体"/>
                    <w:shadow w:val="0"/>
                    <w:sz w:val="19"/>
                    <w:szCs w:val="19"/>
                  </w:rPr>
                </w:r>
              </w:p>
            </w:txbxContent>
          </v:textbox>
          <w10:wrap type="none"/>
        </v:shape>
      </w:pict>
    </w:r>
    <w:r>
      <w:rPr/>
      <w:pict>
        <v:shape style="position:absolute;margin-left:451.95401pt;margin-top:42.915649pt;width:68.25pt;height:11.4pt;mso-position-horizontal-relative:page;mso-position-vertical-relative:page;z-index:-35776" type="#_x0000_t202" filled="false" stroked="false">
          <v:textbox inset="0,0,0,0">
            <w:txbxContent>
              <w:p>
                <w:pPr>
                  <w:spacing w:line="209" w:lineRule="exact" w:before="0"/>
                  <w:ind w:left="20" w:right="0" w:firstLine="0"/>
                  <w:jc w:val="left"/>
                  <w:rPr>
                    <w:rFonts w:ascii="楷体" w:hAnsi="楷体" w:cs="楷体" w:eastAsia="楷体"/>
                    <w:sz w:val="19"/>
                    <w:szCs w:val="19"/>
                  </w:rPr>
                </w:pPr>
                <w:r>
                  <w:rPr>
                    <w:rFonts w:ascii="楷体" w:hAnsi="楷体" w:cs="楷体" w:eastAsia="楷体"/>
                    <w:i/>
                    <w:spacing w:val="-231"/>
                    <w:w w:val="94"/>
                    <w:position w:val="1"/>
                    <w:sz w:val="19"/>
                    <w:szCs w:val="19"/>
                  </w:rPr>
                  <w:t>资</w:t>
                </w:r>
                <w:r>
                  <w:rPr>
                    <w:rFonts w:ascii="楷体" w:hAnsi="楷体" w:cs="楷体" w:eastAsia="楷体"/>
                    <w:i/>
                    <w:color w:val="C0C0C0"/>
                    <w:spacing w:val="-65"/>
                    <w:w w:val="94"/>
                    <w:sz w:val="19"/>
                    <w:szCs w:val="19"/>
                  </w:rPr>
                  <w:t>资</w:t>
                </w:r>
                <w:r>
                  <w:rPr>
                    <w:rFonts w:ascii="楷体" w:hAnsi="楷体" w:cs="楷体" w:eastAsia="楷体"/>
                    <w:i/>
                    <w:spacing w:val="-231"/>
                    <w:w w:val="94"/>
                    <w:position w:val="1"/>
                    <w:sz w:val="19"/>
                    <w:szCs w:val="19"/>
                  </w:rPr>
                  <w:t>产</w:t>
                </w:r>
                <w:r>
                  <w:rPr>
                    <w:rFonts w:ascii="楷体" w:hAnsi="楷体" w:cs="楷体" w:eastAsia="楷体"/>
                    <w:i/>
                    <w:color w:val="C0C0C0"/>
                    <w:spacing w:val="-65"/>
                    <w:w w:val="94"/>
                    <w:sz w:val="19"/>
                    <w:szCs w:val="19"/>
                  </w:rPr>
                  <w:t>产</w:t>
                </w:r>
                <w:r>
                  <w:rPr>
                    <w:rFonts w:ascii="楷体" w:hAnsi="楷体" w:cs="楷体" w:eastAsia="楷体"/>
                    <w:i/>
                    <w:spacing w:val="-231"/>
                    <w:w w:val="94"/>
                    <w:position w:val="1"/>
                    <w:sz w:val="19"/>
                    <w:szCs w:val="19"/>
                  </w:rPr>
                  <w:t>评</w:t>
                </w:r>
                <w:r>
                  <w:rPr>
                    <w:rFonts w:ascii="楷体" w:hAnsi="楷体" w:cs="楷体" w:eastAsia="楷体"/>
                    <w:i/>
                    <w:color w:val="C0C0C0"/>
                    <w:spacing w:val="-65"/>
                    <w:w w:val="94"/>
                    <w:sz w:val="19"/>
                    <w:szCs w:val="19"/>
                  </w:rPr>
                  <w:t>评</w:t>
                </w:r>
                <w:r>
                  <w:rPr>
                    <w:rFonts w:ascii="楷体" w:hAnsi="楷体" w:cs="楷体" w:eastAsia="楷体"/>
                    <w:i/>
                    <w:spacing w:val="-231"/>
                    <w:w w:val="94"/>
                    <w:position w:val="1"/>
                    <w:sz w:val="19"/>
                    <w:szCs w:val="19"/>
                  </w:rPr>
                  <w:t>估</w:t>
                </w:r>
                <w:r>
                  <w:rPr>
                    <w:rFonts w:ascii="楷体" w:hAnsi="楷体" w:cs="楷体" w:eastAsia="楷体"/>
                    <w:i/>
                    <w:color w:val="C0C0C0"/>
                    <w:spacing w:val="-65"/>
                    <w:w w:val="94"/>
                    <w:sz w:val="19"/>
                    <w:szCs w:val="19"/>
                  </w:rPr>
                  <w:t>估</w:t>
                </w:r>
                <w:r>
                  <w:rPr>
                    <w:rFonts w:ascii="楷体" w:hAnsi="楷体" w:cs="楷体" w:eastAsia="楷体"/>
                    <w:i/>
                    <w:spacing w:val="-231"/>
                    <w:w w:val="94"/>
                    <w:position w:val="1"/>
                    <w:sz w:val="19"/>
                    <w:szCs w:val="19"/>
                  </w:rPr>
                  <w:t>报</w:t>
                </w:r>
                <w:r>
                  <w:rPr>
                    <w:rFonts w:ascii="楷体" w:hAnsi="楷体" w:cs="楷体" w:eastAsia="楷体"/>
                    <w:i/>
                    <w:color w:val="C0C0C0"/>
                    <w:spacing w:val="-65"/>
                    <w:w w:val="94"/>
                    <w:sz w:val="19"/>
                    <w:szCs w:val="19"/>
                  </w:rPr>
                  <w:t>报</w:t>
                </w:r>
                <w:r>
                  <w:rPr>
                    <w:rFonts w:ascii="楷体" w:hAnsi="楷体" w:cs="楷体" w:eastAsia="楷体"/>
                    <w:i/>
                    <w:spacing w:val="-231"/>
                    <w:w w:val="94"/>
                    <w:position w:val="1"/>
                    <w:sz w:val="19"/>
                    <w:szCs w:val="19"/>
                  </w:rPr>
                  <w:t>告</w:t>
                </w:r>
                <w:r>
                  <w:rPr>
                    <w:rFonts w:ascii="楷体" w:hAnsi="楷体" w:cs="楷体" w:eastAsia="楷体"/>
                    <w:i/>
                    <w:color w:val="C0C0C0"/>
                    <w:spacing w:val="-65"/>
                    <w:w w:val="94"/>
                    <w:sz w:val="19"/>
                    <w:szCs w:val="19"/>
                  </w:rPr>
                  <w:t>告</w:t>
                </w:r>
                <w:r>
                  <w:rPr>
                    <w:rFonts w:ascii="楷体" w:hAnsi="楷体" w:cs="楷体" w:eastAsia="楷体"/>
                    <w:i/>
                    <w:spacing w:val="-231"/>
                    <w:w w:val="94"/>
                    <w:position w:val="1"/>
                    <w:sz w:val="19"/>
                    <w:szCs w:val="19"/>
                  </w:rPr>
                  <w:t>书</w:t>
                </w:r>
                <w:r>
                  <w:rPr>
                    <w:rFonts w:ascii="楷体" w:hAnsi="楷体" w:cs="楷体" w:eastAsia="楷体"/>
                    <w:i/>
                    <w:color w:val="C0C0C0"/>
                    <w:w w:val="94"/>
                    <w:sz w:val="19"/>
                    <w:szCs w:val="19"/>
                  </w:rPr>
                  <w:t>书</w:t>
                </w:r>
                <w:r>
                  <w:rPr>
                    <w:rFonts w:ascii="楷体" w:hAnsi="楷体" w:cs="楷体" w:eastAsia="楷体"/>
                    <w:sz w:val="19"/>
                    <w:szCs w:val="19"/>
                  </w:rPr>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36"/>
    </w:pPr>
    <w:rPr>
      <w:rFonts w:ascii="仿宋" w:hAnsi="仿宋" w:eastAsia="仿宋"/>
      <w:b/>
      <w:bCs/>
      <w:sz w:val="28"/>
      <w:szCs w:val="28"/>
    </w:rPr>
  </w:style>
  <w:style w:styleId="TOC2" w:type="paragraph">
    <w:name w:val="TOC 2"/>
    <w:basedOn w:val="Normal"/>
    <w:uiPriority w:val="1"/>
    <w:qFormat/>
    <w:pPr>
      <w:spacing w:before="221"/>
      <w:ind w:left="677"/>
    </w:pPr>
    <w:rPr>
      <w:rFonts w:ascii="仿宋" w:hAnsi="仿宋" w:eastAsia="仿宋"/>
      <w:sz w:val="28"/>
      <w:szCs w:val="28"/>
    </w:rPr>
  </w:style>
  <w:style w:styleId="BodyText" w:type="paragraph">
    <w:name w:val="Body Text"/>
    <w:basedOn w:val="Normal"/>
    <w:uiPriority w:val="1"/>
    <w:qFormat/>
    <w:pPr>
      <w:spacing w:before="61"/>
      <w:ind w:left="118"/>
    </w:pPr>
    <w:rPr>
      <w:rFonts w:ascii="仿宋" w:hAnsi="仿宋" w:eastAsia="仿宋"/>
      <w:sz w:val="28"/>
      <w:szCs w:val="28"/>
    </w:rPr>
  </w:style>
  <w:style w:styleId="Heading1" w:type="paragraph">
    <w:name w:val="Heading 1"/>
    <w:basedOn w:val="Normal"/>
    <w:uiPriority w:val="1"/>
    <w:qFormat/>
    <w:pPr>
      <w:ind w:left="417"/>
      <w:outlineLvl w:val="1"/>
    </w:pPr>
    <w:rPr>
      <w:rFonts w:ascii="仿宋" w:hAnsi="仿宋" w:eastAsia="仿宋"/>
      <w:b/>
      <w:bCs/>
      <w:sz w:val="44"/>
      <w:szCs w:val="44"/>
    </w:rPr>
  </w:style>
  <w:style w:styleId="Heading2" w:type="paragraph">
    <w:name w:val="Heading 2"/>
    <w:basedOn w:val="Normal"/>
    <w:uiPriority w:val="1"/>
    <w:qFormat/>
    <w:pPr>
      <w:spacing w:before="103"/>
      <w:ind w:left="417"/>
      <w:outlineLvl w:val="2"/>
    </w:pPr>
    <w:rPr>
      <w:rFonts w:ascii="仿宋" w:hAnsi="仿宋" w:eastAsia="仿宋"/>
      <w:sz w:val="44"/>
      <w:szCs w:val="44"/>
    </w:rPr>
  </w:style>
  <w:style w:styleId="Heading3" w:type="paragraph">
    <w:name w:val="Heading 3"/>
    <w:basedOn w:val="Normal"/>
    <w:uiPriority w:val="1"/>
    <w:qFormat/>
    <w:pPr>
      <w:ind w:left="538"/>
      <w:outlineLvl w:val="3"/>
    </w:pPr>
    <w:rPr>
      <w:rFonts w:ascii="仿宋" w:hAnsi="仿宋" w:eastAsia="仿宋"/>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footer" Target="footer2.xml"/><Relationship Id="rId9" Type="http://schemas.openxmlformats.org/officeDocument/2006/relationships/hyperlink" Target="http://www.cas.org.cn/pgbz/pgzc/55899.htm" TargetMode="Externa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footer" Target="footer5.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dc:title>目   录</dc:title>
  <dcterms:created xsi:type="dcterms:W3CDTF">2018-12-17T14:31:22Z</dcterms:created>
  <dcterms:modified xsi:type="dcterms:W3CDTF">2018-12-17T14:31:22Z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WPS 文字</vt:lpwstr>
  </property>
  <property fmtid="{D5CDD505-2E9C-101B-9397-08002B2CF9AE}" pid="4" name="LastSaved">
    <vt:filetime>2018-12-17T00:00:00Z</vt:filetime>
  </property>
</Properties>
</file>