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ind w:firstLine="420"/>
        <w:jc w:val="left"/>
        <w:rPr>
          <w:rFonts w:ascii="Times New Roman" w:hAnsi="Times New Roman"/>
          <w:b w:val="0"/>
          <w:bCs/>
          <w:w w:val="80"/>
          <w:sz w:val="24"/>
          <w:szCs w:val="24"/>
        </w:rPr>
      </w:pPr>
      <w:bookmarkStart w:id="0" w:name="_Toc32498"/>
      <w:r>
        <w:rPr>
          <w:rFonts w:ascii="Times New Roman" w:hAnsi="Times New Roman"/>
          <w:b w:val="0"/>
          <w:bCs/>
          <w:w w:val="80"/>
          <w:sz w:val="24"/>
          <w:szCs w:val="24"/>
        </w:rPr>
        <w:t>本报告依据中国资产评估准则编制</w:t>
      </w:r>
      <w:bookmarkEnd w:id="0"/>
      <w:r>
        <w:rPr>
          <w:rFonts w:ascii="Times New Roman" w:hAnsi="Times New Roman"/>
          <w:b w:val="0"/>
          <w:bCs/>
          <w:w w:val="80"/>
          <w:sz w:val="24"/>
          <w:szCs w:val="24"/>
        </w:rPr>
        <w:t xml:space="preserve"> </w:t>
      </w:r>
    </w:p>
    <w:p>
      <w:pPr>
        <w:spacing w:line="360" w:lineRule="auto"/>
        <w:ind w:right="28"/>
        <w:jc w:val="center"/>
        <w:rPr>
          <w:b/>
          <w:w w:val="80"/>
          <w:sz w:val="32"/>
        </w:rPr>
      </w:pPr>
    </w:p>
    <w:p>
      <w:pPr>
        <w:ind w:right="26"/>
        <w:jc w:val="center"/>
        <w:rPr>
          <w:rFonts w:hint="default"/>
          <w:b/>
          <w:w w:val="80"/>
          <w:sz w:val="36"/>
          <w:szCs w:val="36"/>
          <w:lang w:val="en-US" w:eastAsia="zh-CN"/>
        </w:rPr>
      </w:pPr>
      <w:r>
        <w:rPr>
          <w:rFonts w:hint="eastAsia"/>
          <w:b/>
          <w:w w:val="80"/>
          <w:sz w:val="36"/>
          <w:szCs w:val="36"/>
          <w:lang w:eastAsia="zh-CN"/>
        </w:rPr>
        <w:t>江苏省剑丰农业实业有限公司</w:t>
      </w:r>
      <w:r>
        <w:rPr>
          <w:rFonts w:hint="eastAsia"/>
          <w:b/>
          <w:w w:val="80"/>
          <w:sz w:val="36"/>
          <w:szCs w:val="36"/>
          <w:lang w:val="en-US" w:eastAsia="zh-CN"/>
        </w:rPr>
        <w:t>拟收购</w:t>
      </w:r>
    </w:p>
    <w:p>
      <w:pPr>
        <w:ind w:right="26"/>
        <w:jc w:val="center"/>
        <w:rPr>
          <w:rFonts w:hint="default" w:eastAsia="宋体"/>
          <w:b/>
          <w:w w:val="80"/>
          <w:sz w:val="36"/>
          <w:szCs w:val="36"/>
          <w:lang w:val="en-US" w:eastAsia="zh-CN"/>
        </w:rPr>
      </w:pPr>
      <w:r>
        <w:rPr>
          <w:rFonts w:hint="eastAsia"/>
          <w:b/>
          <w:w w:val="80"/>
          <w:sz w:val="36"/>
          <w:szCs w:val="36"/>
          <w:lang w:eastAsia="zh-CN"/>
        </w:rPr>
        <w:t>盐城大丰天州机械制造有限公司所属房屋建筑物及土地使用权</w:t>
      </w:r>
    </w:p>
    <w:p>
      <w:pPr>
        <w:widowControl/>
        <w:autoSpaceDE w:val="0"/>
        <w:autoSpaceDN w:val="0"/>
        <w:spacing w:line="760" w:lineRule="exact"/>
        <w:jc w:val="center"/>
        <w:textAlignment w:val="bottom"/>
        <w:rPr>
          <w:b/>
          <w:spacing w:val="18"/>
          <w:sz w:val="18"/>
        </w:rPr>
      </w:pPr>
      <w:r>
        <w:rPr>
          <w:b/>
          <w:spacing w:val="18"/>
          <w:sz w:val="44"/>
        </w:rPr>
        <w:t>资产评估报告</w:t>
      </w:r>
    </w:p>
    <w:p>
      <w:pPr>
        <w:widowControl/>
        <w:autoSpaceDE w:val="0"/>
        <w:autoSpaceDN w:val="0"/>
        <w:spacing w:line="600" w:lineRule="atLeast"/>
        <w:jc w:val="center"/>
        <w:textAlignment w:val="bottom"/>
        <w:rPr>
          <w:rFonts w:hint="default" w:ascii="Times New Roman" w:hAnsi="Times New Roman" w:eastAsia="宋体" w:cs="Times New Roman"/>
          <w:b/>
          <w:sz w:val="28"/>
          <w:szCs w:val="28"/>
          <w:highlight w:val="none"/>
          <w:lang w:eastAsia="zh-CN"/>
        </w:rPr>
      </w:pPr>
      <w:r>
        <w:rPr>
          <w:rFonts w:hint="default" w:ascii="Times New Roman" w:hAnsi="Times New Roman" w:cs="Times New Roman"/>
          <w:b/>
          <w:sz w:val="28"/>
          <w:szCs w:val="28"/>
          <w:highlight w:val="none"/>
          <w:lang w:eastAsia="zh-CN"/>
        </w:rPr>
        <w:t>苏三师评报字（2021）第304号</w:t>
      </w:r>
    </w:p>
    <w:p>
      <w:pPr>
        <w:widowControl/>
        <w:autoSpaceDE w:val="0"/>
        <w:autoSpaceDN w:val="0"/>
        <w:spacing w:line="600" w:lineRule="atLeast"/>
        <w:jc w:val="center"/>
        <w:textAlignment w:val="bottom"/>
        <w:rPr>
          <w:sz w:val="24"/>
        </w:rPr>
      </w:pPr>
      <w:r>
        <w:rPr>
          <w:sz w:val="24"/>
        </w:rPr>
        <w:t>（共1册，第1册）</w:t>
      </w:r>
    </w:p>
    <w:p>
      <w:pPr>
        <w:widowControl/>
        <w:autoSpaceDE w:val="0"/>
        <w:autoSpaceDN w:val="0"/>
        <w:spacing w:line="600" w:lineRule="atLeast"/>
        <w:textAlignment w:val="bottom"/>
        <w:rPr>
          <w:sz w:val="30"/>
        </w:rPr>
      </w:pPr>
    </w:p>
    <w:p>
      <w:pPr>
        <w:widowControl/>
        <w:autoSpaceDE w:val="0"/>
        <w:autoSpaceDN w:val="0"/>
        <w:spacing w:line="600" w:lineRule="atLeast"/>
        <w:textAlignment w:val="bottom"/>
        <w:rPr>
          <w:sz w:val="30"/>
        </w:rPr>
      </w:pPr>
    </w:p>
    <w:p>
      <w:pPr>
        <w:widowControl/>
        <w:autoSpaceDE w:val="0"/>
        <w:autoSpaceDN w:val="0"/>
        <w:spacing w:line="600" w:lineRule="atLeast"/>
        <w:textAlignment w:val="bottom"/>
        <w:rPr>
          <w:sz w:val="30"/>
        </w:rPr>
      </w:pPr>
    </w:p>
    <w:p>
      <w:pPr>
        <w:widowControl/>
        <w:autoSpaceDE w:val="0"/>
        <w:autoSpaceDN w:val="0"/>
        <w:spacing w:line="600" w:lineRule="atLeast"/>
        <w:textAlignment w:val="bottom"/>
        <w:rPr>
          <w:sz w:val="30"/>
        </w:rPr>
      </w:pPr>
    </w:p>
    <w:p>
      <w:pPr>
        <w:widowControl/>
        <w:autoSpaceDE w:val="0"/>
        <w:autoSpaceDN w:val="0"/>
        <w:spacing w:line="600" w:lineRule="atLeast"/>
        <w:textAlignment w:val="bottom"/>
        <w:rPr>
          <w:b/>
          <w:sz w:val="30"/>
        </w:rPr>
      </w:pPr>
    </w:p>
    <w:p>
      <w:pPr>
        <w:widowControl/>
        <w:autoSpaceDE w:val="0"/>
        <w:autoSpaceDN w:val="0"/>
        <w:spacing w:line="600" w:lineRule="atLeast"/>
        <w:textAlignment w:val="bottom"/>
        <w:rPr>
          <w:b/>
          <w:sz w:val="30"/>
        </w:rPr>
      </w:pPr>
    </w:p>
    <w:p>
      <w:pPr>
        <w:widowControl/>
        <w:autoSpaceDE w:val="0"/>
        <w:autoSpaceDN w:val="0"/>
        <w:spacing w:line="600" w:lineRule="atLeast"/>
        <w:textAlignment w:val="bottom"/>
        <w:rPr>
          <w:b/>
          <w:sz w:val="30"/>
        </w:rPr>
      </w:pPr>
    </w:p>
    <w:p>
      <w:pPr>
        <w:widowControl/>
        <w:autoSpaceDE w:val="0"/>
        <w:autoSpaceDN w:val="0"/>
        <w:spacing w:line="600" w:lineRule="atLeast"/>
        <w:textAlignment w:val="bottom"/>
        <w:rPr>
          <w:b/>
          <w:sz w:val="30"/>
        </w:rPr>
      </w:pPr>
    </w:p>
    <w:p>
      <w:pPr>
        <w:widowControl/>
        <w:autoSpaceDE w:val="0"/>
        <w:autoSpaceDN w:val="0"/>
        <w:spacing w:line="600" w:lineRule="atLeast"/>
        <w:textAlignment w:val="bottom"/>
        <w:rPr>
          <w:b/>
          <w:sz w:val="30"/>
        </w:rPr>
      </w:pPr>
    </w:p>
    <w:p>
      <w:pPr>
        <w:widowControl/>
        <w:autoSpaceDE w:val="0"/>
        <w:autoSpaceDN w:val="0"/>
        <w:spacing w:line="600" w:lineRule="atLeast"/>
        <w:textAlignment w:val="bottom"/>
        <w:rPr>
          <w:b/>
          <w:sz w:val="30"/>
        </w:rPr>
      </w:pPr>
    </w:p>
    <w:p>
      <w:pPr>
        <w:widowControl/>
        <w:autoSpaceDE w:val="0"/>
        <w:autoSpaceDN w:val="0"/>
        <w:spacing w:line="600" w:lineRule="atLeast"/>
        <w:jc w:val="center"/>
        <w:textAlignment w:val="bottom"/>
        <w:rPr>
          <w:b/>
          <w:bCs/>
          <w:sz w:val="36"/>
          <w:szCs w:val="36"/>
        </w:rPr>
      </w:pPr>
      <w:r>
        <w:rPr>
          <w:b/>
          <w:sz w:val="36"/>
          <w:szCs w:val="36"/>
        </w:rPr>
        <w:t>江苏三师土地房地产资产评估测绘咨询有限公司</w:t>
      </w:r>
    </w:p>
    <w:p>
      <w:pPr>
        <w:widowControl/>
        <w:autoSpaceDE w:val="0"/>
        <w:autoSpaceDN w:val="0"/>
        <w:spacing w:line="600" w:lineRule="atLeast"/>
        <w:jc w:val="center"/>
        <w:textAlignment w:val="bottom"/>
        <w:rPr>
          <w:rFonts w:hint="default" w:ascii="Times New Roman" w:hAnsi="Times New Roman" w:eastAsia="宋体" w:cs="Times New Roman"/>
          <w:b/>
          <w:bCs/>
          <w:sz w:val="36"/>
          <w:szCs w:val="36"/>
          <w:lang w:eastAsia="zh-CN"/>
        </w:rPr>
      </w:pPr>
      <w:r>
        <w:rPr>
          <w:rFonts w:hint="default" w:ascii="Times New Roman" w:hAnsi="Times New Roman" w:cs="Times New Roman"/>
          <w:b/>
          <w:bCs/>
          <w:sz w:val="36"/>
          <w:szCs w:val="36"/>
          <w:lang w:eastAsia="zh-CN"/>
        </w:rPr>
        <w:t>2021年01月11日</w:t>
      </w:r>
    </w:p>
    <w:p>
      <w:pPr>
        <w:widowControl/>
        <w:autoSpaceDE w:val="0"/>
        <w:autoSpaceDN w:val="0"/>
        <w:spacing w:line="480" w:lineRule="exact"/>
        <w:jc w:val="center"/>
        <w:textAlignment w:val="bottom"/>
        <w:rPr>
          <w:b/>
          <w:sz w:val="28"/>
        </w:rPr>
      </w:pPr>
    </w:p>
    <w:p>
      <w:pPr>
        <w:spacing w:line="480" w:lineRule="auto"/>
        <w:jc w:val="center"/>
        <w:outlineLvl w:val="0"/>
        <w:rPr>
          <w:b/>
          <w:sz w:val="36"/>
          <w:szCs w:val="36"/>
        </w:rPr>
      </w:pPr>
      <w:bookmarkStart w:id="1" w:name="_Toc15926"/>
      <w:bookmarkStart w:id="2" w:name="_Toc252347958"/>
      <w:bookmarkStart w:id="3" w:name="_Toc326234413"/>
      <w:bookmarkStart w:id="4" w:name="_Toc28711"/>
      <w:bookmarkStart w:id="5" w:name="_Toc28784"/>
      <w:bookmarkStart w:id="6" w:name="_Toc252452936"/>
      <w:bookmarkStart w:id="7" w:name="_Toc376253522"/>
      <w:r>
        <w:rPr>
          <w:b/>
          <w:sz w:val="36"/>
          <w:szCs w:val="36"/>
        </w:rPr>
        <w:br w:type="page"/>
      </w:r>
      <w:bookmarkStart w:id="8" w:name="_Toc6520"/>
      <w:r>
        <w:rPr>
          <w:b/>
          <w:sz w:val="36"/>
          <w:szCs w:val="36"/>
        </w:rPr>
        <w:t>目    录</w:t>
      </w:r>
      <w:bookmarkEnd w:id="1"/>
      <w:bookmarkEnd w:id="2"/>
      <w:bookmarkEnd w:id="3"/>
      <w:bookmarkEnd w:id="4"/>
      <w:bookmarkEnd w:id="5"/>
      <w:bookmarkEnd w:id="6"/>
      <w:bookmarkEnd w:id="7"/>
      <w:bookmarkEnd w:id="8"/>
    </w:p>
    <w:p>
      <w:pPr>
        <w:spacing w:line="480" w:lineRule="auto"/>
        <w:jc w:val="center"/>
        <w:outlineLvl w:val="0"/>
        <w:rPr>
          <w:b/>
          <w:sz w:val="36"/>
          <w:szCs w:val="36"/>
        </w:rPr>
      </w:pPr>
    </w:p>
    <w:p>
      <w:pPr>
        <w:pStyle w:val="9"/>
        <w:tabs>
          <w:tab w:val="right" w:leader="dot" w:pos="9070"/>
        </w:tabs>
      </w:pPr>
      <w:r>
        <w:rPr>
          <w:b w:val="0"/>
        </w:rPr>
        <w:fldChar w:fldCharType="begin"/>
      </w:r>
      <w:r>
        <w:rPr>
          <w:b w:val="0"/>
        </w:rPr>
        <w:instrText xml:space="preserve"> TOC \o "1-2" \h \z \u </w:instrText>
      </w:r>
      <w:r>
        <w:rPr>
          <w:b w:val="0"/>
        </w:rPr>
        <w:fldChar w:fldCharType="separate"/>
      </w:r>
    </w:p>
    <w:p>
      <w:pPr>
        <w:pStyle w:val="9"/>
        <w:tabs>
          <w:tab w:val="right" w:leader="dot" w:pos="9070"/>
        </w:tabs>
      </w:pPr>
      <w:r>
        <w:fldChar w:fldCharType="begin"/>
      </w:r>
      <w:r>
        <w:instrText xml:space="preserve"> HYPERLINK \l _Toc25620 </w:instrText>
      </w:r>
      <w:r>
        <w:fldChar w:fldCharType="separate"/>
      </w:r>
      <w:r>
        <w:t>声   明</w:t>
      </w:r>
      <w:r>
        <w:tab/>
      </w:r>
      <w:r>
        <w:fldChar w:fldCharType="begin"/>
      </w:r>
      <w:r>
        <w:instrText xml:space="preserve"> PAGEREF _Toc25620 </w:instrText>
      </w:r>
      <w:r>
        <w:fldChar w:fldCharType="separate"/>
      </w:r>
      <w:r>
        <w:t>1</w:t>
      </w:r>
      <w:r>
        <w:fldChar w:fldCharType="end"/>
      </w:r>
      <w:r>
        <w:fldChar w:fldCharType="end"/>
      </w:r>
    </w:p>
    <w:p>
      <w:pPr>
        <w:pStyle w:val="9"/>
        <w:tabs>
          <w:tab w:val="right" w:leader="dot" w:pos="9070"/>
        </w:tabs>
      </w:pPr>
      <w:r>
        <w:fldChar w:fldCharType="begin"/>
      </w:r>
      <w:r>
        <w:instrText xml:space="preserve"> HYPERLINK \l _Toc13544 </w:instrText>
      </w:r>
      <w:r>
        <w:fldChar w:fldCharType="separate"/>
      </w:r>
      <w:r>
        <w:t>资产评估报告摘要</w:t>
      </w:r>
      <w:r>
        <w:tab/>
      </w:r>
      <w:r>
        <w:fldChar w:fldCharType="begin"/>
      </w:r>
      <w:r>
        <w:instrText xml:space="preserve"> PAGEREF _Toc13544 </w:instrText>
      </w:r>
      <w:r>
        <w:fldChar w:fldCharType="separate"/>
      </w:r>
      <w:r>
        <w:t>2</w:t>
      </w:r>
      <w:r>
        <w:fldChar w:fldCharType="end"/>
      </w:r>
      <w:r>
        <w:fldChar w:fldCharType="end"/>
      </w:r>
    </w:p>
    <w:p>
      <w:pPr>
        <w:pStyle w:val="9"/>
        <w:tabs>
          <w:tab w:val="right" w:leader="dot" w:pos="9070"/>
        </w:tabs>
      </w:pPr>
      <w:r>
        <w:fldChar w:fldCharType="begin"/>
      </w:r>
      <w:r>
        <w:instrText xml:space="preserve"> HYPERLINK \l _Toc28750 </w:instrText>
      </w:r>
      <w:r>
        <w:fldChar w:fldCharType="separate"/>
      </w:r>
      <w:r>
        <w:t>资产评估报告正文</w:t>
      </w:r>
      <w:r>
        <w:tab/>
      </w:r>
      <w:r>
        <w:fldChar w:fldCharType="begin"/>
      </w:r>
      <w:r>
        <w:instrText xml:space="preserve"> PAGEREF _Toc28750 </w:instrText>
      </w:r>
      <w:r>
        <w:fldChar w:fldCharType="separate"/>
      </w:r>
      <w:r>
        <w:t>6</w:t>
      </w:r>
      <w:r>
        <w:fldChar w:fldCharType="end"/>
      </w:r>
      <w:r>
        <w:fldChar w:fldCharType="end"/>
      </w:r>
    </w:p>
    <w:p>
      <w:pPr>
        <w:pStyle w:val="10"/>
        <w:tabs>
          <w:tab w:val="right" w:leader="dot" w:pos="9070"/>
          <w:tab w:val="clear" w:pos="9060"/>
        </w:tabs>
        <w:ind w:left="420"/>
      </w:pPr>
      <w:r>
        <w:fldChar w:fldCharType="begin"/>
      </w:r>
      <w:r>
        <w:instrText xml:space="preserve"> HYPERLINK \l _Toc20800 </w:instrText>
      </w:r>
      <w:r>
        <w:fldChar w:fldCharType="separate"/>
      </w:r>
      <w:r>
        <w:t>一、委托人、被评估单位和资产评估委托合同约定的其他资产评估报告使用人概况</w:t>
      </w:r>
      <w:r>
        <w:tab/>
      </w:r>
      <w:r>
        <w:fldChar w:fldCharType="begin"/>
      </w:r>
      <w:r>
        <w:instrText xml:space="preserve"> PAGEREF _Toc20800 </w:instrText>
      </w:r>
      <w:r>
        <w:fldChar w:fldCharType="separate"/>
      </w:r>
      <w:r>
        <w:t>6</w:t>
      </w:r>
      <w:r>
        <w:fldChar w:fldCharType="end"/>
      </w:r>
      <w:r>
        <w:fldChar w:fldCharType="end"/>
      </w:r>
    </w:p>
    <w:p>
      <w:pPr>
        <w:pStyle w:val="10"/>
        <w:tabs>
          <w:tab w:val="right" w:leader="dot" w:pos="9070"/>
          <w:tab w:val="clear" w:pos="9060"/>
        </w:tabs>
        <w:ind w:left="420"/>
      </w:pPr>
      <w:r>
        <w:fldChar w:fldCharType="begin"/>
      </w:r>
      <w:r>
        <w:instrText xml:space="preserve"> HYPERLINK \l _Toc29096 </w:instrText>
      </w:r>
      <w:r>
        <w:fldChar w:fldCharType="separate"/>
      </w:r>
      <w:r>
        <w:t>二、评估目的</w:t>
      </w:r>
      <w:r>
        <w:tab/>
      </w:r>
      <w:r>
        <w:fldChar w:fldCharType="begin"/>
      </w:r>
      <w:r>
        <w:instrText xml:space="preserve"> PAGEREF _Toc29096 </w:instrText>
      </w:r>
      <w:r>
        <w:fldChar w:fldCharType="separate"/>
      </w:r>
      <w:r>
        <w:t>7</w:t>
      </w:r>
      <w:r>
        <w:fldChar w:fldCharType="end"/>
      </w:r>
      <w:r>
        <w:fldChar w:fldCharType="end"/>
      </w:r>
    </w:p>
    <w:p>
      <w:pPr>
        <w:pStyle w:val="10"/>
        <w:tabs>
          <w:tab w:val="right" w:leader="dot" w:pos="9070"/>
          <w:tab w:val="clear" w:pos="9060"/>
        </w:tabs>
        <w:ind w:left="420"/>
      </w:pPr>
      <w:r>
        <w:fldChar w:fldCharType="begin"/>
      </w:r>
      <w:r>
        <w:instrText xml:space="preserve"> HYPERLINK \l _Toc32102 </w:instrText>
      </w:r>
      <w:r>
        <w:fldChar w:fldCharType="separate"/>
      </w:r>
      <w:r>
        <w:t>三、评估对象和评估范围</w:t>
      </w:r>
      <w:r>
        <w:tab/>
      </w:r>
      <w:r>
        <w:fldChar w:fldCharType="begin"/>
      </w:r>
      <w:r>
        <w:instrText xml:space="preserve"> PAGEREF _Toc32102 </w:instrText>
      </w:r>
      <w:r>
        <w:fldChar w:fldCharType="separate"/>
      </w:r>
      <w:r>
        <w:t>7</w:t>
      </w:r>
      <w:r>
        <w:fldChar w:fldCharType="end"/>
      </w:r>
      <w:r>
        <w:fldChar w:fldCharType="end"/>
      </w:r>
    </w:p>
    <w:p>
      <w:pPr>
        <w:pStyle w:val="10"/>
        <w:tabs>
          <w:tab w:val="right" w:leader="dot" w:pos="9070"/>
          <w:tab w:val="clear" w:pos="9060"/>
        </w:tabs>
        <w:ind w:left="420"/>
      </w:pPr>
      <w:r>
        <w:fldChar w:fldCharType="begin"/>
      </w:r>
      <w:r>
        <w:instrText xml:space="preserve"> HYPERLINK \l _Toc12088 </w:instrText>
      </w:r>
      <w:r>
        <w:fldChar w:fldCharType="separate"/>
      </w:r>
      <w:r>
        <w:t>四、价值类型</w:t>
      </w:r>
      <w:r>
        <w:tab/>
      </w:r>
      <w:r>
        <w:fldChar w:fldCharType="begin"/>
      </w:r>
      <w:r>
        <w:instrText xml:space="preserve"> PAGEREF _Toc12088 </w:instrText>
      </w:r>
      <w:r>
        <w:fldChar w:fldCharType="separate"/>
      </w:r>
      <w:r>
        <w:t>8</w:t>
      </w:r>
      <w:r>
        <w:fldChar w:fldCharType="end"/>
      </w:r>
      <w:r>
        <w:fldChar w:fldCharType="end"/>
      </w:r>
    </w:p>
    <w:p>
      <w:pPr>
        <w:pStyle w:val="10"/>
        <w:tabs>
          <w:tab w:val="right" w:leader="dot" w:pos="9070"/>
          <w:tab w:val="clear" w:pos="9060"/>
        </w:tabs>
        <w:ind w:left="420"/>
      </w:pPr>
      <w:r>
        <w:fldChar w:fldCharType="begin"/>
      </w:r>
      <w:r>
        <w:instrText xml:space="preserve"> HYPERLINK \l _Toc1738 </w:instrText>
      </w:r>
      <w:r>
        <w:fldChar w:fldCharType="separate"/>
      </w:r>
      <w:r>
        <w:t>五、评估基准日</w:t>
      </w:r>
      <w:r>
        <w:tab/>
      </w:r>
      <w:r>
        <w:fldChar w:fldCharType="begin"/>
      </w:r>
      <w:r>
        <w:instrText xml:space="preserve"> PAGEREF _Toc1738 </w:instrText>
      </w:r>
      <w:r>
        <w:fldChar w:fldCharType="separate"/>
      </w:r>
      <w:r>
        <w:t>8</w:t>
      </w:r>
      <w:r>
        <w:fldChar w:fldCharType="end"/>
      </w:r>
      <w:r>
        <w:fldChar w:fldCharType="end"/>
      </w:r>
    </w:p>
    <w:p>
      <w:pPr>
        <w:pStyle w:val="10"/>
        <w:tabs>
          <w:tab w:val="right" w:leader="dot" w:pos="9070"/>
          <w:tab w:val="clear" w:pos="9060"/>
        </w:tabs>
        <w:ind w:left="420"/>
      </w:pPr>
      <w:r>
        <w:fldChar w:fldCharType="begin"/>
      </w:r>
      <w:r>
        <w:instrText xml:space="preserve"> HYPERLINK \l _Toc13420 </w:instrText>
      </w:r>
      <w:r>
        <w:fldChar w:fldCharType="separate"/>
      </w:r>
      <w:r>
        <w:t>六、评估依据</w:t>
      </w:r>
      <w:r>
        <w:tab/>
      </w:r>
      <w:r>
        <w:fldChar w:fldCharType="begin"/>
      </w:r>
      <w:r>
        <w:instrText xml:space="preserve"> PAGEREF _Toc13420 </w:instrText>
      </w:r>
      <w:r>
        <w:fldChar w:fldCharType="separate"/>
      </w:r>
      <w:r>
        <w:t>8</w:t>
      </w:r>
      <w:r>
        <w:fldChar w:fldCharType="end"/>
      </w:r>
      <w:r>
        <w:fldChar w:fldCharType="end"/>
      </w:r>
    </w:p>
    <w:p>
      <w:pPr>
        <w:pStyle w:val="10"/>
        <w:tabs>
          <w:tab w:val="right" w:leader="dot" w:pos="9070"/>
          <w:tab w:val="clear" w:pos="9060"/>
        </w:tabs>
        <w:ind w:left="420"/>
      </w:pPr>
      <w:r>
        <w:fldChar w:fldCharType="begin"/>
      </w:r>
      <w:r>
        <w:instrText xml:space="preserve"> HYPERLINK \l _Toc23600 </w:instrText>
      </w:r>
      <w:r>
        <w:fldChar w:fldCharType="separate"/>
      </w:r>
      <w:r>
        <w:t>七、评估方法</w:t>
      </w:r>
      <w:r>
        <w:tab/>
      </w:r>
      <w:r>
        <w:fldChar w:fldCharType="begin"/>
      </w:r>
      <w:r>
        <w:instrText xml:space="preserve"> PAGEREF _Toc23600 </w:instrText>
      </w:r>
      <w:r>
        <w:fldChar w:fldCharType="separate"/>
      </w:r>
      <w:r>
        <w:t>10</w:t>
      </w:r>
      <w:r>
        <w:fldChar w:fldCharType="end"/>
      </w:r>
      <w:r>
        <w:fldChar w:fldCharType="end"/>
      </w:r>
    </w:p>
    <w:p>
      <w:pPr>
        <w:pStyle w:val="10"/>
        <w:tabs>
          <w:tab w:val="right" w:leader="dot" w:pos="9070"/>
          <w:tab w:val="clear" w:pos="9060"/>
        </w:tabs>
        <w:ind w:left="420"/>
      </w:pPr>
      <w:r>
        <w:fldChar w:fldCharType="begin"/>
      </w:r>
      <w:r>
        <w:instrText xml:space="preserve"> HYPERLINK \l _Toc10714 </w:instrText>
      </w:r>
      <w:r>
        <w:fldChar w:fldCharType="separate"/>
      </w:r>
      <w:r>
        <w:t>八、评估程序实施过程和情况</w:t>
      </w:r>
      <w:r>
        <w:tab/>
      </w:r>
      <w:r>
        <w:fldChar w:fldCharType="begin"/>
      </w:r>
      <w:r>
        <w:instrText xml:space="preserve"> PAGEREF _Toc10714 </w:instrText>
      </w:r>
      <w:r>
        <w:fldChar w:fldCharType="separate"/>
      </w:r>
      <w:r>
        <w:t>11</w:t>
      </w:r>
      <w:r>
        <w:fldChar w:fldCharType="end"/>
      </w:r>
      <w:r>
        <w:fldChar w:fldCharType="end"/>
      </w:r>
    </w:p>
    <w:p>
      <w:pPr>
        <w:pStyle w:val="10"/>
        <w:tabs>
          <w:tab w:val="right" w:leader="dot" w:pos="9070"/>
          <w:tab w:val="clear" w:pos="9060"/>
        </w:tabs>
        <w:ind w:left="420"/>
      </w:pPr>
      <w:r>
        <w:fldChar w:fldCharType="begin"/>
      </w:r>
      <w:r>
        <w:instrText xml:space="preserve"> HYPERLINK \l _Toc11565 </w:instrText>
      </w:r>
      <w:r>
        <w:fldChar w:fldCharType="separate"/>
      </w:r>
      <w:r>
        <w:t>九、评估假设</w:t>
      </w:r>
      <w:r>
        <w:tab/>
      </w:r>
      <w:r>
        <w:fldChar w:fldCharType="begin"/>
      </w:r>
      <w:r>
        <w:instrText xml:space="preserve"> PAGEREF _Toc11565 </w:instrText>
      </w:r>
      <w:r>
        <w:fldChar w:fldCharType="separate"/>
      </w:r>
      <w:r>
        <w:t>15</w:t>
      </w:r>
      <w:r>
        <w:fldChar w:fldCharType="end"/>
      </w:r>
      <w:r>
        <w:fldChar w:fldCharType="end"/>
      </w:r>
    </w:p>
    <w:p>
      <w:pPr>
        <w:pStyle w:val="10"/>
        <w:tabs>
          <w:tab w:val="right" w:leader="dot" w:pos="9070"/>
          <w:tab w:val="clear" w:pos="9060"/>
        </w:tabs>
        <w:ind w:left="420"/>
      </w:pPr>
      <w:r>
        <w:fldChar w:fldCharType="begin"/>
      </w:r>
      <w:r>
        <w:instrText xml:space="preserve"> HYPERLINK \l _Toc27824 </w:instrText>
      </w:r>
      <w:r>
        <w:fldChar w:fldCharType="separate"/>
      </w:r>
      <w:r>
        <w:t>十、评估结论</w:t>
      </w:r>
      <w:r>
        <w:tab/>
      </w:r>
      <w:r>
        <w:fldChar w:fldCharType="begin"/>
      </w:r>
      <w:r>
        <w:instrText xml:space="preserve"> PAGEREF _Toc27824 </w:instrText>
      </w:r>
      <w:r>
        <w:fldChar w:fldCharType="separate"/>
      </w:r>
      <w:r>
        <w:t>16</w:t>
      </w:r>
      <w:r>
        <w:fldChar w:fldCharType="end"/>
      </w:r>
      <w:r>
        <w:fldChar w:fldCharType="end"/>
      </w:r>
    </w:p>
    <w:p>
      <w:pPr>
        <w:pStyle w:val="10"/>
        <w:tabs>
          <w:tab w:val="right" w:leader="dot" w:pos="9070"/>
          <w:tab w:val="clear" w:pos="9060"/>
        </w:tabs>
        <w:ind w:left="420"/>
      </w:pPr>
      <w:r>
        <w:fldChar w:fldCharType="begin"/>
      </w:r>
      <w:r>
        <w:instrText xml:space="preserve"> HYPERLINK \l _Toc26207 </w:instrText>
      </w:r>
      <w:r>
        <w:fldChar w:fldCharType="separate"/>
      </w:r>
      <w:r>
        <w:t>十一、 特别事项说明</w:t>
      </w:r>
      <w:r>
        <w:tab/>
      </w:r>
      <w:r>
        <w:fldChar w:fldCharType="begin"/>
      </w:r>
      <w:r>
        <w:instrText xml:space="preserve"> PAGEREF _Toc26207 </w:instrText>
      </w:r>
      <w:r>
        <w:fldChar w:fldCharType="separate"/>
      </w:r>
      <w:r>
        <w:t>16</w:t>
      </w:r>
      <w:r>
        <w:fldChar w:fldCharType="end"/>
      </w:r>
      <w:r>
        <w:fldChar w:fldCharType="end"/>
      </w:r>
    </w:p>
    <w:p>
      <w:pPr>
        <w:pStyle w:val="10"/>
        <w:tabs>
          <w:tab w:val="right" w:leader="dot" w:pos="9070"/>
          <w:tab w:val="clear" w:pos="9060"/>
        </w:tabs>
        <w:ind w:left="420"/>
      </w:pPr>
      <w:r>
        <w:fldChar w:fldCharType="begin"/>
      </w:r>
      <w:r>
        <w:instrText xml:space="preserve"> HYPERLINK \l _Toc21146 </w:instrText>
      </w:r>
      <w:r>
        <w:fldChar w:fldCharType="separate"/>
      </w:r>
      <w:r>
        <w:t>十二、资产评估报告使用限制说明</w:t>
      </w:r>
      <w:r>
        <w:tab/>
      </w:r>
      <w:r>
        <w:fldChar w:fldCharType="begin"/>
      </w:r>
      <w:r>
        <w:instrText xml:space="preserve"> PAGEREF _Toc21146 </w:instrText>
      </w:r>
      <w:r>
        <w:fldChar w:fldCharType="separate"/>
      </w:r>
      <w:r>
        <w:t>17</w:t>
      </w:r>
      <w:r>
        <w:fldChar w:fldCharType="end"/>
      </w:r>
      <w:r>
        <w:fldChar w:fldCharType="end"/>
      </w:r>
    </w:p>
    <w:p>
      <w:pPr>
        <w:pStyle w:val="10"/>
        <w:tabs>
          <w:tab w:val="right" w:leader="dot" w:pos="9070"/>
          <w:tab w:val="clear" w:pos="9060"/>
        </w:tabs>
        <w:ind w:left="420"/>
      </w:pPr>
      <w:r>
        <w:fldChar w:fldCharType="begin"/>
      </w:r>
      <w:r>
        <w:instrText xml:space="preserve"> HYPERLINK \l _Toc15423 </w:instrText>
      </w:r>
      <w:r>
        <w:fldChar w:fldCharType="separate"/>
      </w:r>
      <w:r>
        <w:t>十三、资产评估报告日</w:t>
      </w:r>
      <w:r>
        <w:tab/>
      </w:r>
      <w:r>
        <w:fldChar w:fldCharType="begin"/>
      </w:r>
      <w:r>
        <w:instrText xml:space="preserve"> PAGEREF _Toc15423 </w:instrText>
      </w:r>
      <w:r>
        <w:fldChar w:fldCharType="separate"/>
      </w:r>
      <w:r>
        <w:t>18</w:t>
      </w:r>
      <w:r>
        <w:fldChar w:fldCharType="end"/>
      </w:r>
      <w:r>
        <w:fldChar w:fldCharType="end"/>
      </w:r>
    </w:p>
    <w:p>
      <w:pPr>
        <w:pStyle w:val="10"/>
        <w:tabs>
          <w:tab w:val="right" w:leader="dot" w:pos="9070"/>
          <w:tab w:val="clear" w:pos="9060"/>
        </w:tabs>
        <w:ind w:left="420"/>
      </w:pPr>
      <w:r>
        <w:fldChar w:fldCharType="begin"/>
      </w:r>
      <w:r>
        <w:instrText xml:space="preserve"> HYPERLINK \l _Toc1472 </w:instrText>
      </w:r>
      <w:r>
        <w:fldChar w:fldCharType="separate"/>
      </w:r>
      <w:r>
        <w:t>十四、资产评估专业人员签名和资产评估机构印章</w:t>
      </w:r>
      <w:r>
        <w:tab/>
      </w:r>
      <w:r>
        <w:fldChar w:fldCharType="begin"/>
      </w:r>
      <w:r>
        <w:instrText xml:space="preserve"> PAGEREF _Toc1472 </w:instrText>
      </w:r>
      <w:r>
        <w:fldChar w:fldCharType="separate"/>
      </w:r>
      <w:r>
        <w:t>18</w:t>
      </w:r>
      <w:r>
        <w:fldChar w:fldCharType="end"/>
      </w:r>
      <w:r>
        <w:fldChar w:fldCharType="end"/>
      </w:r>
    </w:p>
    <w:p>
      <w:pPr>
        <w:spacing w:line="360" w:lineRule="auto"/>
        <w:jc w:val="center"/>
        <w:outlineLvl w:val="0"/>
        <w:rPr>
          <w:sz w:val="24"/>
        </w:rPr>
      </w:pPr>
      <w:r>
        <w:fldChar w:fldCharType="end"/>
      </w:r>
    </w:p>
    <w:p>
      <w:pPr>
        <w:rPr>
          <w:sz w:val="24"/>
        </w:rPr>
        <w:sectPr>
          <w:headerReference r:id="rId3" w:type="default"/>
          <w:pgSz w:w="11906" w:h="16838"/>
          <w:pgMar w:top="1440" w:right="1418" w:bottom="1440" w:left="1418" w:header="851" w:footer="992" w:gutter="0"/>
          <w:cols w:space="720" w:num="1"/>
          <w:docGrid w:type="lines" w:linePitch="312" w:charSpace="0"/>
        </w:sectPr>
      </w:pPr>
    </w:p>
    <w:p>
      <w:pPr>
        <w:pStyle w:val="2"/>
        <w:jc w:val="center"/>
      </w:pPr>
      <w:bookmarkStart w:id="9" w:name="_Toc25620"/>
      <w:bookmarkStart w:id="10" w:name="_Toc252452937"/>
      <w:r>
        <w:t>声   明</w:t>
      </w:r>
      <w:bookmarkEnd w:id="9"/>
      <w:bookmarkEnd w:id="10"/>
    </w:p>
    <w:p>
      <w:pPr>
        <w:tabs>
          <w:tab w:val="left" w:pos="3045"/>
        </w:tabs>
        <w:spacing w:line="360" w:lineRule="auto"/>
        <w:ind w:right="28" w:firstLine="480" w:firstLineChars="200"/>
        <w:rPr>
          <w:sz w:val="24"/>
        </w:rPr>
      </w:pPr>
      <w:r>
        <w:rPr>
          <w:sz w:val="24"/>
        </w:rPr>
        <w:t xml:space="preserve">（一）本资产评估报告依据财政部发布的资产评估基本准则和中国资产评估协会发布的资产评估执业准则和职业道德准则编制。 </w:t>
      </w:r>
    </w:p>
    <w:p>
      <w:pPr>
        <w:tabs>
          <w:tab w:val="left" w:pos="3045"/>
        </w:tabs>
        <w:spacing w:line="360" w:lineRule="auto"/>
        <w:ind w:right="28" w:firstLine="480" w:firstLineChars="200"/>
        <w:rPr>
          <w:sz w:val="24"/>
        </w:rPr>
      </w:pPr>
      <w:r>
        <w:rPr>
          <w:sz w:val="24"/>
        </w:rPr>
        <w:t xml:space="preserve">（二）委托人或者其他资产评估报告使用人应当按照法律、行政法规规定和资产评估报告载明的使用范围使用资产评估报告；委托人或者其他资产评估报告使用人违反前述规定使用资产评估报告的，本资产评估机构及其资产评估专业人员不承担责任。 </w:t>
      </w:r>
    </w:p>
    <w:p>
      <w:pPr>
        <w:tabs>
          <w:tab w:val="left" w:pos="3045"/>
        </w:tabs>
        <w:spacing w:line="360" w:lineRule="auto"/>
        <w:ind w:right="28" w:firstLine="480" w:firstLineChars="200"/>
        <w:rPr>
          <w:sz w:val="24"/>
        </w:rPr>
      </w:pPr>
      <w:r>
        <w:rPr>
          <w:sz w:val="24"/>
        </w:rPr>
        <w:t xml:space="preserve">（三）本资产评估报告仅供委托人、资产评估委托合同中约定的其他资产评估报告使用人和法律、行政法规规定的资产评估报告使用人使用；除此之外，其他任何机构和个人不能成为本资产评估报告的使用人。 </w:t>
      </w:r>
    </w:p>
    <w:p>
      <w:pPr>
        <w:tabs>
          <w:tab w:val="left" w:pos="3045"/>
        </w:tabs>
        <w:spacing w:line="360" w:lineRule="auto"/>
        <w:ind w:right="28" w:firstLine="480" w:firstLineChars="200"/>
        <w:rPr>
          <w:sz w:val="24"/>
        </w:rPr>
      </w:pPr>
      <w:r>
        <w:rPr>
          <w:sz w:val="24"/>
        </w:rPr>
        <w:t>（四）本资产评估报告使用人应当正确理解和使用评估结论，评估结论不等同于评估对象可实现价格，评估结论不应当被认为是对评估对象可实现价格的保证。</w:t>
      </w:r>
    </w:p>
    <w:p>
      <w:pPr>
        <w:tabs>
          <w:tab w:val="left" w:pos="3045"/>
        </w:tabs>
        <w:spacing w:line="360" w:lineRule="auto"/>
        <w:ind w:right="28" w:firstLine="480" w:firstLineChars="200"/>
        <w:rPr>
          <w:sz w:val="24"/>
        </w:rPr>
      </w:pPr>
      <w:r>
        <w:rPr>
          <w:sz w:val="24"/>
        </w:rPr>
        <w:t>（五）资产评估报告使用人应当关注评估结论成立的假设前提、资产评估报告特别事项说明和使用限制。</w:t>
      </w:r>
    </w:p>
    <w:p>
      <w:pPr>
        <w:tabs>
          <w:tab w:val="left" w:pos="3045"/>
        </w:tabs>
        <w:spacing w:line="360" w:lineRule="auto"/>
        <w:ind w:right="28" w:firstLine="480" w:firstLineChars="200"/>
        <w:rPr>
          <w:sz w:val="24"/>
        </w:rPr>
      </w:pPr>
      <w:r>
        <w:rPr>
          <w:sz w:val="24"/>
        </w:rPr>
        <w:t>（六）本资产评估机构及其资产评估专业人员遵守法律、行政法规和资产评估准则，坚持独立、客观、公正的原则，并对所出具的资产评估报告依法承担责任。</w:t>
      </w:r>
    </w:p>
    <w:p>
      <w:pPr>
        <w:tabs>
          <w:tab w:val="left" w:pos="3045"/>
        </w:tabs>
        <w:spacing w:line="360" w:lineRule="auto"/>
        <w:ind w:right="28" w:firstLine="480" w:firstLineChars="200"/>
        <w:rPr>
          <w:sz w:val="24"/>
        </w:rPr>
      </w:pPr>
      <w:r>
        <w:rPr>
          <w:sz w:val="24"/>
        </w:rPr>
        <w:t>（七）本资产评估机构及资产评估专业人员与资产评估报告中的评估对象没有现存或者预期的利益关系，同时与相关当事人没有现存或者预期的利益关系，对相关当事人不存在偏见。</w:t>
      </w:r>
    </w:p>
    <w:p>
      <w:pPr>
        <w:tabs>
          <w:tab w:val="left" w:pos="3045"/>
        </w:tabs>
        <w:spacing w:line="360" w:lineRule="auto"/>
        <w:ind w:right="28" w:firstLine="480" w:firstLineChars="200"/>
        <w:rPr>
          <w:sz w:val="24"/>
        </w:rPr>
      </w:pPr>
      <w:r>
        <w:rPr>
          <w:sz w:val="24"/>
        </w:rPr>
        <w:t>（八）评估结论仅在评估报告载明的评估基准日有效。评估报告使用者应当根据评估基准日后的资产状况和市场变化情况合理确定评估报告使用期限。</w:t>
      </w:r>
    </w:p>
    <w:p>
      <w:pPr>
        <w:tabs>
          <w:tab w:val="left" w:pos="3045"/>
        </w:tabs>
        <w:spacing w:line="360" w:lineRule="auto"/>
        <w:ind w:right="28" w:firstLine="480" w:firstLineChars="200"/>
        <w:rPr>
          <w:sz w:val="24"/>
        </w:rPr>
      </w:pPr>
      <w:r>
        <w:rPr>
          <w:sz w:val="24"/>
        </w:rPr>
        <w:t>（九）资产评估专业人员执行资产评估业务的目的是对评估对象价值进行估算并发表专业意见，并不承担相关当事人决策的责任。评估结论不应被认为是对评估对象可实现价格的保证。</w:t>
      </w:r>
    </w:p>
    <w:p>
      <w:pPr>
        <w:tabs>
          <w:tab w:val="left" w:pos="3045"/>
        </w:tabs>
        <w:spacing w:line="360" w:lineRule="auto"/>
        <w:ind w:right="28" w:firstLine="480" w:firstLineChars="200"/>
        <w:rPr>
          <w:sz w:val="24"/>
        </w:rPr>
      </w:pPr>
      <w:r>
        <w:rPr>
          <w:sz w:val="24"/>
        </w:rPr>
        <w:t>（十）遵守相关法律、法规和资产评估准则，对评估对象价值进行估算并发表专业意见，是资产评估专业人员的责任；提供必要的资料并保证所提供资料的真实性、合法性和完整性，恰当使用评估报告是委托人和相关当事方人的责任。</w:t>
      </w:r>
    </w:p>
    <w:p>
      <w:pPr>
        <w:tabs>
          <w:tab w:val="left" w:pos="3045"/>
        </w:tabs>
        <w:spacing w:line="360" w:lineRule="auto"/>
        <w:ind w:right="28" w:firstLine="480" w:firstLineChars="200"/>
        <w:rPr>
          <w:sz w:val="24"/>
        </w:rPr>
      </w:pPr>
      <w:r>
        <w:rPr>
          <w:sz w:val="24"/>
        </w:rPr>
        <w:t>（十一）本资产评估报告是根据现有、限定资料出具，任何依据同一标的资产的其他资料或者信息可能得出与本报告不一致的评估结论。</w:t>
      </w:r>
    </w:p>
    <w:p>
      <w:pPr>
        <w:jc w:val="center"/>
        <w:rPr>
          <w:b/>
          <w:color w:val="000000"/>
          <w:w w:val="55"/>
          <w:sz w:val="72"/>
          <w:szCs w:val="72"/>
        </w:rPr>
      </w:pPr>
      <w:r>
        <w:rPr>
          <w:b/>
          <w:color w:val="000000"/>
          <w:w w:val="55"/>
          <w:sz w:val="72"/>
          <w:szCs w:val="72"/>
        </w:rPr>
        <w:t>江苏三师土地房地产资产评估测绘咨询有限公司</w:t>
      </w:r>
    </w:p>
    <w:p>
      <w:pPr>
        <w:jc w:val="center"/>
        <w:rPr>
          <w:rFonts w:hint="eastAsia" w:eastAsia="宋体"/>
          <w:sz w:val="24"/>
          <w:lang w:eastAsia="zh-CN"/>
        </w:rPr>
      </w:pPr>
      <w:r>
        <w:rPr>
          <w:rFonts w:hint="eastAsia"/>
          <w:sz w:val="24"/>
          <w:lang w:eastAsia="zh-CN"/>
        </w:rPr>
        <w:t>苏三师评报字</w:t>
      </w:r>
      <w:r>
        <w:rPr>
          <w:rFonts w:hint="default" w:ascii="Times New Roman" w:hAnsi="Times New Roman" w:cs="Times New Roman"/>
          <w:sz w:val="24"/>
          <w:lang w:eastAsia="zh-CN"/>
        </w:rPr>
        <w:t>（2021）第304号</w:t>
      </w:r>
    </w:p>
    <w:p>
      <w:pPr>
        <w:spacing w:line="400" w:lineRule="atLeast"/>
        <w:jc w:val="center"/>
        <w:rPr>
          <w:w w:val="80"/>
          <w:sz w:val="36"/>
        </w:rPr>
      </w:pPr>
      <w:r>
        <w:rPr>
          <w:lang w:val="zh-CN"/>
        </w:rPr>
        <mc:AlternateContent>
          <mc:Choice Requires="wps">
            <w:drawing>
              <wp:anchor distT="0" distB="0" distL="114300" distR="114300" simplePos="0" relativeHeight="251659264" behindDoc="0" locked="0" layoutInCell="1" allowOverlap="1">
                <wp:simplePos x="0" y="0"/>
                <wp:positionH relativeFrom="column">
                  <wp:posOffset>3009900</wp:posOffset>
                </wp:positionH>
                <wp:positionV relativeFrom="paragraph">
                  <wp:posOffset>198120</wp:posOffset>
                </wp:positionV>
                <wp:extent cx="2133600" cy="0"/>
                <wp:effectExtent l="0" t="9525" r="0" b="9525"/>
                <wp:wrapNone/>
                <wp:docPr id="2" name="直接连接符 2"/>
                <wp:cNvGraphicFramePr/>
                <a:graphic xmlns:a="http://schemas.openxmlformats.org/drawingml/2006/main">
                  <a:graphicData uri="http://schemas.microsoft.com/office/word/2010/wordprocessingShape">
                    <wps:wsp>
                      <wps:cNvCnPr/>
                      <wps:spPr>
                        <a:xfrm>
                          <a:off x="0" y="0"/>
                          <a:ext cx="213360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7pt;margin-top:15.6pt;height:0pt;width:168pt;z-index:251659264;mso-width-relative:page;mso-height-relative:page;" filled="f" stroked="t" coordsize="21600,21600" o:gfxdata="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PC0Z3WAAAACQEAAA8AAAAAAAAAAQAgAAAAIgAAAGRycy9kb3ducmV2LnhtbFBLAQIU&#10;ABQAAAAIAIdO4kDbtO6z9QEAAOUDAAAOAAAAAAAAAAEAIAAAACUBAABkcnMvZTJvRG9jLnhtbFBL&#10;BQYAAAAABgAGAFkBAACMBQAAAAA=&#10;">
                <v:fill on="f" focussize="0,0"/>
                <v:stroke weight="1.5pt" color="#000000" joinstyle="round"/>
                <v:imagedata o:title=""/>
                <o:lock v:ext="edit" aspectratio="f"/>
              </v:line>
            </w:pict>
          </mc:Fallback>
        </mc:AlternateContent>
      </w:r>
      <w:r>
        <w:rPr>
          <w:lang w:val="zh-CN"/>
        </w:rPr>
        <mc:AlternateContent>
          <mc:Choice Requires="wps">
            <w:drawing>
              <wp:anchor distT="0" distB="0" distL="114300" distR="114300" simplePos="0" relativeHeight="251658240" behindDoc="0" locked="0" layoutInCell="0" allowOverlap="1">
                <wp:simplePos x="0" y="0"/>
                <wp:positionH relativeFrom="column">
                  <wp:posOffset>133350</wp:posOffset>
                </wp:positionH>
                <wp:positionV relativeFrom="paragraph">
                  <wp:posOffset>198120</wp:posOffset>
                </wp:positionV>
                <wp:extent cx="2066925" cy="0"/>
                <wp:effectExtent l="0" t="9525" r="9525" b="9525"/>
                <wp:wrapNone/>
                <wp:docPr id="3" name="直接连接符 3"/>
                <wp:cNvGraphicFramePr/>
                <a:graphic xmlns:a="http://schemas.openxmlformats.org/drawingml/2006/main">
                  <a:graphicData uri="http://schemas.microsoft.com/office/word/2010/wordprocessingShape">
                    <wps:wsp>
                      <wps:cNvCnPr/>
                      <wps:spPr>
                        <a:xfrm flipH="1">
                          <a:off x="0" y="0"/>
                          <a:ext cx="2066925"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0.5pt;margin-top:15.6pt;height:0pt;width:162.75pt;z-index:251658240;mso-width-relative:page;mso-height-relative:page;" filled="f" stroked="t" coordsize="21600,21600" o:allowincell="f" o:gfxdata="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YVgFjWAAAACAEAAA8AAAAAAAAAAQAgAAAAIgAAAGRycy9kb3ducmV2&#10;LnhtbFBLAQIUABQAAAAIAIdO4kCYagW7/gEAAO8DAAAOAAAAAAAAAAEAIAAAACUBAABkcnMvZTJv&#10;RG9jLnhtbFBLBQYAAAAABgAGAFkBAACVBQAAAAA=&#10;">
                <v:fill on="f" focussize="0,0"/>
                <v:stroke weight="1.5pt" color="#000000" joinstyle="round"/>
                <v:imagedata o:title=""/>
                <o:lock v:ext="edit" aspectratio="f"/>
              </v:line>
            </w:pict>
          </mc:Fallback>
        </mc:AlternateContent>
      </w:r>
      <w:r>
        <w:rPr>
          <w:w w:val="80"/>
          <w:sz w:val="36"/>
        </w:rPr>
        <w:t xml:space="preserve">☆ </w:t>
      </w:r>
    </w:p>
    <w:p>
      <w:pPr>
        <w:pStyle w:val="2"/>
        <w:spacing w:before="0" w:after="0" w:line="360" w:lineRule="auto"/>
        <w:jc w:val="center"/>
        <w:rPr>
          <w:rFonts w:hint="eastAsia"/>
          <w:bCs w:val="0"/>
          <w:w w:val="80"/>
          <w:szCs w:val="36"/>
          <w:lang w:val="en-US" w:eastAsia="zh-CN"/>
        </w:rPr>
      </w:pPr>
      <w:r>
        <w:rPr>
          <w:rFonts w:hint="eastAsia"/>
          <w:bCs w:val="0"/>
          <w:w w:val="80"/>
          <w:szCs w:val="36"/>
          <w:lang w:eastAsia="zh-CN"/>
        </w:rPr>
        <w:t>江苏省剑丰农业实业有限公司</w:t>
      </w:r>
      <w:bookmarkStart w:id="11" w:name="_Toc9975"/>
      <w:r>
        <w:rPr>
          <w:rFonts w:hint="eastAsia"/>
          <w:bCs w:val="0"/>
          <w:w w:val="80"/>
          <w:szCs w:val="36"/>
          <w:lang w:val="en-US" w:eastAsia="zh-CN"/>
        </w:rPr>
        <w:t>拟收购</w:t>
      </w:r>
    </w:p>
    <w:bookmarkEnd w:id="11"/>
    <w:p>
      <w:pPr>
        <w:pStyle w:val="2"/>
        <w:spacing w:before="0" w:after="0" w:line="360" w:lineRule="auto"/>
        <w:jc w:val="center"/>
        <w:rPr>
          <w:rFonts w:hint="eastAsia" w:eastAsia="宋体"/>
          <w:bCs w:val="0"/>
          <w:w w:val="80"/>
          <w:szCs w:val="36"/>
          <w:highlight w:val="magenta"/>
          <w:lang w:eastAsia="zh-CN"/>
        </w:rPr>
      </w:pPr>
      <w:r>
        <w:rPr>
          <w:rFonts w:hint="eastAsia"/>
          <w:bCs w:val="0"/>
          <w:w w:val="80"/>
          <w:szCs w:val="36"/>
          <w:lang w:eastAsia="zh-CN"/>
        </w:rPr>
        <w:t>盐城大丰天州机械制造有限公司所属</w:t>
      </w:r>
      <w:r>
        <w:rPr>
          <w:rFonts w:hint="eastAsia"/>
          <w:bCs w:val="0"/>
          <w:w w:val="80"/>
          <w:szCs w:val="36"/>
          <w:highlight w:val="none"/>
          <w:lang w:eastAsia="zh-CN"/>
        </w:rPr>
        <w:t>房屋建筑物及土地使用权</w:t>
      </w:r>
    </w:p>
    <w:p>
      <w:pPr>
        <w:pStyle w:val="2"/>
        <w:spacing w:before="0" w:after="0" w:line="360" w:lineRule="auto"/>
        <w:jc w:val="center"/>
        <w:rPr>
          <w:bCs w:val="0"/>
          <w:w w:val="80"/>
          <w:kern w:val="2"/>
          <w:szCs w:val="36"/>
        </w:rPr>
      </w:pPr>
      <w:bookmarkStart w:id="12" w:name="_Toc13544"/>
      <w:r>
        <w:t>资产评估报告摘要</w:t>
      </w:r>
      <w:bookmarkEnd w:id="12"/>
    </w:p>
    <w:p>
      <w:pPr>
        <w:spacing w:line="500" w:lineRule="exact"/>
        <w:jc w:val="center"/>
        <w:rPr>
          <w:color w:val="000000"/>
          <w:sz w:val="24"/>
        </w:rPr>
      </w:pPr>
    </w:p>
    <w:p>
      <w:pPr>
        <w:spacing w:line="500" w:lineRule="exact"/>
        <w:jc w:val="left"/>
        <w:rPr>
          <w:b/>
          <w:sz w:val="24"/>
        </w:rPr>
      </w:pPr>
      <w:r>
        <w:rPr>
          <w:rFonts w:hint="eastAsia"/>
          <w:b/>
          <w:sz w:val="24"/>
          <w:lang w:eastAsia="zh-CN"/>
        </w:rPr>
        <w:t>江苏省剑丰农业实业有限公司</w:t>
      </w:r>
      <w:r>
        <w:rPr>
          <w:b/>
          <w:sz w:val="24"/>
        </w:rPr>
        <w:t>：</w:t>
      </w:r>
    </w:p>
    <w:p>
      <w:pPr>
        <w:widowControl/>
        <w:autoSpaceDE w:val="0"/>
        <w:autoSpaceDN w:val="0"/>
        <w:spacing w:line="500" w:lineRule="exact"/>
        <w:ind w:firstLine="480" w:firstLineChars="200"/>
        <w:jc w:val="left"/>
        <w:textAlignment w:val="bottom"/>
        <w:rPr>
          <w:sz w:val="24"/>
          <w:highlight w:val="none"/>
        </w:rPr>
      </w:pPr>
      <w:r>
        <w:rPr>
          <w:sz w:val="24"/>
        </w:rPr>
        <w:t>江苏三师土地房地产资产评估测绘咨询有限公司接受</w:t>
      </w:r>
      <w:r>
        <w:rPr>
          <w:rFonts w:hint="eastAsia"/>
          <w:sz w:val="24"/>
          <w:lang w:eastAsia="zh-CN"/>
        </w:rPr>
        <w:t>江苏省剑丰农业实业有限公司</w:t>
      </w:r>
      <w:r>
        <w:rPr>
          <w:sz w:val="24"/>
        </w:rPr>
        <w:t>（以下简称</w:t>
      </w:r>
      <w:r>
        <w:rPr>
          <w:rFonts w:hint="eastAsia" w:ascii="宋体" w:hAnsi="宋体" w:eastAsia="宋体" w:cs="宋体"/>
          <w:sz w:val="24"/>
        </w:rPr>
        <w:t>“贵</w:t>
      </w:r>
      <w:r>
        <w:rPr>
          <w:rFonts w:hint="eastAsia" w:ascii="宋体" w:hAnsi="宋体" w:eastAsia="宋体" w:cs="宋体"/>
          <w:sz w:val="24"/>
          <w:lang w:val="en-US" w:eastAsia="zh-CN"/>
        </w:rPr>
        <w:t>公司</w:t>
      </w:r>
      <w:r>
        <w:rPr>
          <w:rFonts w:hint="eastAsia" w:ascii="宋体" w:hAnsi="宋体" w:eastAsia="宋体" w:cs="宋体"/>
          <w:sz w:val="24"/>
        </w:rPr>
        <w:t>”</w:t>
      </w:r>
      <w:r>
        <w:rPr>
          <w:sz w:val="24"/>
        </w:rPr>
        <w:t>）之委托，按照法律、行政法规和资产评估准则的规定，坚持独立、客观和公正的原</w:t>
      </w:r>
      <w:r>
        <w:rPr>
          <w:sz w:val="24"/>
          <w:highlight w:val="none"/>
        </w:rPr>
        <w:t>则，采用</w:t>
      </w:r>
      <w:r>
        <w:rPr>
          <w:rFonts w:hint="eastAsia"/>
          <w:sz w:val="24"/>
          <w:highlight w:val="none"/>
          <w:lang w:val="en-US" w:eastAsia="zh-CN"/>
        </w:rPr>
        <w:t>资产基础法及收益法</w:t>
      </w:r>
      <w:r>
        <w:rPr>
          <w:sz w:val="24"/>
          <w:highlight w:val="none"/>
        </w:rPr>
        <w:t>，按照必要的评估程序，对</w:t>
      </w:r>
      <w:r>
        <w:rPr>
          <w:rFonts w:hint="eastAsia"/>
          <w:sz w:val="24"/>
          <w:highlight w:val="none"/>
          <w:lang w:eastAsia="zh-CN"/>
        </w:rPr>
        <w:t>贵公司</w:t>
      </w:r>
      <w:r>
        <w:rPr>
          <w:sz w:val="24"/>
          <w:highlight w:val="none"/>
        </w:rPr>
        <w:t>拟</w:t>
      </w:r>
      <w:r>
        <w:rPr>
          <w:rFonts w:hint="eastAsia"/>
          <w:sz w:val="24"/>
          <w:highlight w:val="none"/>
          <w:lang w:val="en-US" w:eastAsia="zh-CN"/>
        </w:rPr>
        <w:t>收购的</w:t>
      </w:r>
      <w:r>
        <w:rPr>
          <w:rFonts w:hint="eastAsia"/>
          <w:sz w:val="24"/>
          <w:highlight w:val="none"/>
          <w:lang w:eastAsia="zh-CN"/>
        </w:rPr>
        <w:t>盐城大丰天州机械制造有限公司所属房屋建筑物及土地使用权</w:t>
      </w:r>
      <w:r>
        <w:rPr>
          <w:sz w:val="24"/>
          <w:highlight w:val="none"/>
        </w:rPr>
        <w:t>在</w:t>
      </w:r>
      <w:r>
        <w:rPr>
          <w:rFonts w:hint="default" w:ascii="Times New Roman" w:hAnsi="Times New Roman" w:eastAsia="宋体" w:cs="Times New Roman"/>
          <w:sz w:val="24"/>
          <w:highlight w:val="none"/>
          <w:lang w:eastAsia="zh-CN"/>
        </w:rPr>
        <w:t>2021年01月08日</w:t>
      </w:r>
      <w:r>
        <w:rPr>
          <w:rFonts w:hint="default" w:ascii="Times New Roman" w:hAnsi="Times New Roman" w:eastAsia="宋体" w:cs="Times New Roman"/>
          <w:sz w:val="24"/>
          <w:highlight w:val="none"/>
        </w:rPr>
        <w:t>的</w:t>
      </w:r>
      <w:r>
        <w:rPr>
          <w:bCs/>
          <w:iCs/>
          <w:sz w:val="24"/>
          <w:szCs w:val="20"/>
          <w:highlight w:val="none"/>
        </w:rPr>
        <w:t>市场价值</w:t>
      </w:r>
      <w:r>
        <w:rPr>
          <w:sz w:val="24"/>
          <w:highlight w:val="none"/>
        </w:rPr>
        <w:t>进行了评估。现将评估报告主要内容摘要如下。</w:t>
      </w:r>
      <w:r>
        <w:rPr>
          <w:b/>
          <w:bCs/>
          <w:sz w:val="24"/>
          <w:highlight w:val="none"/>
        </w:rPr>
        <w:t xml:space="preserve"> </w:t>
      </w:r>
    </w:p>
    <w:p>
      <w:pPr>
        <w:tabs>
          <w:tab w:val="left" w:pos="3045"/>
        </w:tabs>
        <w:spacing w:line="500" w:lineRule="exact"/>
        <w:ind w:right="28" w:firstLine="482" w:firstLineChars="200"/>
        <w:rPr>
          <w:b/>
          <w:bCs/>
          <w:sz w:val="24"/>
          <w:highlight w:val="none"/>
        </w:rPr>
      </w:pPr>
      <w:r>
        <w:rPr>
          <w:b/>
          <w:bCs/>
          <w:sz w:val="24"/>
          <w:highlight w:val="none"/>
        </w:rPr>
        <w:t>一、委托人、被评估单位和资产评估委托合同约定的其他资产评估报告使用人概况</w:t>
      </w:r>
    </w:p>
    <w:p>
      <w:pPr>
        <w:tabs>
          <w:tab w:val="left" w:pos="3045"/>
        </w:tabs>
        <w:spacing w:line="500" w:lineRule="exact"/>
        <w:ind w:right="28" w:firstLine="480" w:firstLineChars="200"/>
        <w:rPr>
          <w:sz w:val="24"/>
          <w:highlight w:val="none"/>
        </w:rPr>
      </w:pPr>
      <w:r>
        <w:rPr>
          <w:sz w:val="24"/>
          <w:highlight w:val="none"/>
        </w:rPr>
        <w:t>委托人：</w:t>
      </w:r>
      <w:r>
        <w:rPr>
          <w:rFonts w:hint="eastAsia"/>
          <w:sz w:val="24"/>
          <w:highlight w:val="none"/>
          <w:lang w:eastAsia="zh-CN"/>
        </w:rPr>
        <w:t>江苏省剑丰农业实业有限公司</w:t>
      </w:r>
      <w:r>
        <w:rPr>
          <w:sz w:val="24"/>
          <w:highlight w:val="none"/>
        </w:rPr>
        <w:t>。</w:t>
      </w:r>
    </w:p>
    <w:p>
      <w:pPr>
        <w:tabs>
          <w:tab w:val="left" w:pos="3045"/>
        </w:tabs>
        <w:spacing w:line="500" w:lineRule="exact"/>
        <w:ind w:right="28" w:firstLine="480" w:firstLineChars="200"/>
        <w:rPr>
          <w:sz w:val="24"/>
          <w:highlight w:val="none"/>
        </w:rPr>
      </w:pPr>
      <w:r>
        <w:rPr>
          <w:sz w:val="24"/>
          <w:highlight w:val="none"/>
        </w:rPr>
        <w:t>被评估单位（产权持有者）：</w:t>
      </w:r>
      <w:r>
        <w:rPr>
          <w:rFonts w:hint="eastAsia"/>
          <w:sz w:val="24"/>
          <w:highlight w:val="none"/>
          <w:lang w:eastAsia="zh-CN"/>
        </w:rPr>
        <w:t>盐城大丰天州机械制造有限公司</w:t>
      </w:r>
      <w:r>
        <w:rPr>
          <w:sz w:val="24"/>
          <w:highlight w:val="none"/>
        </w:rPr>
        <w:t>。</w:t>
      </w:r>
    </w:p>
    <w:p>
      <w:pPr>
        <w:tabs>
          <w:tab w:val="left" w:pos="3045"/>
          <w:tab w:val="left" w:pos="5880"/>
        </w:tabs>
        <w:spacing w:line="500" w:lineRule="exact"/>
        <w:ind w:right="28" w:firstLine="480" w:firstLineChars="200"/>
        <w:rPr>
          <w:sz w:val="24"/>
          <w:highlight w:val="none"/>
        </w:rPr>
      </w:pPr>
      <w:r>
        <w:rPr>
          <w:sz w:val="24"/>
          <w:highlight w:val="none"/>
        </w:rPr>
        <w:t xml:space="preserve">委托人以外的其他评估报告使用者：本报告限定委托人使用。 </w:t>
      </w:r>
    </w:p>
    <w:p>
      <w:pPr>
        <w:spacing w:line="500" w:lineRule="exact"/>
        <w:ind w:firstLine="482" w:firstLineChars="200"/>
        <w:jc w:val="left"/>
        <w:rPr>
          <w:b/>
          <w:sz w:val="24"/>
          <w:highlight w:val="none"/>
        </w:rPr>
      </w:pPr>
      <w:r>
        <w:rPr>
          <w:b/>
          <w:sz w:val="24"/>
          <w:highlight w:val="none"/>
        </w:rPr>
        <w:t>二、评估目的</w:t>
      </w:r>
    </w:p>
    <w:p>
      <w:pPr>
        <w:tabs>
          <w:tab w:val="left" w:pos="6405"/>
        </w:tabs>
        <w:spacing w:line="500" w:lineRule="exact"/>
        <w:ind w:firstLine="470" w:firstLineChars="196"/>
        <w:rPr>
          <w:sz w:val="24"/>
          <w:highlight w:val="none"/>
        </w:rPr>
      </w:pPr>
      <w:r>
        <w:rPr>
          <w:sz w:val="24"/>
          <w:highlight w:val="none"/>
        </w:rPr>
        <w:t>确定委估资产于评估基准日的市场价值，为</w:t>
      </w:r>
      <w:r>
        <w:rPr>
          <w:rFonts w:hint="eastAsia"/>
          <w:sz w:val="24"/>
          <w:highlight w:val="none"/>
          <w:lang w:eastAsia="zh-CN"/>
        </w:rPr>
        <w:t>江苏省剑丰农业实业有限公司</w:t>
      </w:r>
      <w:r>
        <w:rPr>
          <w:rFonts w:hint="eastAsia"/>
          <w:sz w:val="24"/>
          <w:highlight w:val="none"/>
          <w:lang w:val="en-US" w:eastAsia="zh-CN"/>
        </w:rPr>
        <w:t>资产收购这一经济行为提供价值参考依据</w:t>
      </w:r>
      <w:r>
        <w:rPr>
          <w:sz w:val="24"/>
          <w:highlight w:val="none"/>
        </w:rPr>
        <w:t>。</w:t>
      </w:r>
    </w:p>
    <w:p>
      <w:pPr>
        <w:tabs>
          <w:tab w:val="left" w:pos="3045"/>
        </w:tabs>
        <w:spacing w:line="500" w:lineRule="exact"/>
        <w:ind w:right="28" w:firstLine="482" w:firstLineChars="200"/>
        <w:rPr>
          <w:b/>
          <w:bCs/>
          <w:sz w:val="24"/>
        </w:rPr>
      </w:pPr>
      <w:r>
        <w:rPr>
          <w:b/>
          <w:bCs/>
          <w:sz w:val="24"/>
        </w:rPr>
        <w:t>三、评估对象和评估范围</w:t>
      </w:r>
    </w:p>
    <w:p>
      <w:pPr>
        <w:spacing w:line="500" w:lineRule="exact"/>
        <w:ind w:firstLine="480" w:firstLineChars="200"/>
        <w:jc w:val="left"/>
        <w:rPr>
          <w:sz w:val="24"/>
        </w:rPr>
      </w:pPr>
      <w:r>
        <w:rPr>
          <w:sz w:val="24"/>
        </w:rPr>
        <w:t>本次评估对象为</w:t>
      </w:r>
      <w:r>
        <w:rPr>
          <w:rFonts w:hint="eastAsia"/>
          <w:sz w:val="24"/>
        </w:rPr>
        <w:t>江苏省剑丰农业实业有限公司</w:t>
      </w:r>
      <w:r>
        <w:rPr>
          <w:sz w:val="24"/>
        </w:rPr>
        <w:t>申报</w:t>
      </w:r>
      <w:r>
        <w:rPr>
          <w:rFonts w:hint="eastAsia"/>
          <w:sz w:val="24"/>
          <w:lang w:eastAsia="zh-CN"/>
        </w:rPr>
        <w:t>的盐城大丰天州机械制造有限公司所属房屋建筑物及土地使用权</w:t>
      </w:r>
      <w:r>
        <w:rPr>
          <w:sz w:val="24"/>
        </w:rPr>
        <w:t>。本次评估范围为</w:t>
      </w:r>
      <w:r>
        <w:rPr>
          <w:rFonts w:hint="eastAsia"/>
          <w:sz w:val="24"/>
          <w:lang w:eastAsia="zh-CN"/>
        </w:rPr>
        <w:t>委托人申报</w:t>
      </w:r>
      <w:r>
        <w:rPr>
          <w:sz w:val="24"/>
        </w:rPr>
        <w:t>的单项资产。</w:t>
      </w:r>
    </w:p>
    <w:p>
      <w:pPr>
        <w:spacing w:line="500" w:lineRule="exact"/>
        <w:ind w:firstLine="480" w:firstLineChars="200"/>
        <w:jc w:val="left"/>
        <w:rPr>
          <w:sz w:val="24"/>
        </w:rPr>
      </w:pPr>
      <w:r>
        <w:rPr>
          <w:sz w:val="24"/>
        </w:rPr>
        <w:t>详</w:t>
      </w:r>
      <w:r>
        <w:rPr>
          <w:rFonts w:hint="eastAsia" w:ascii="宋体" w:hAnsi="宋体" w:eastAsia="宋体" w:cs="宋体"/>
          <w:sz w:val="24"/>
        </w:rPr>
        <w:t>见“</w:t>
      </w:r>
      <w:r>
        <w:rPr>
          <w:rFonts w:hint="eastAsia" w:ascii="宋体" w:hAnsi="宋体" w:eastAsia="宋体" w:cs="宋体"/>
          <w:sz w:val="24"/>
          <w:lang w:val="en-US" w:eastAsia="zh-CN"/>
        </w:rPr>
        <w:t>资产评估汇总及明细表</w:t>
      </w:r>
      <w:r>
        <w:rPr>
          <w:rFonts w:hint="eastAsia" w:ascii="宋体" w:hAnsi="宋体" w:eastAsia="宋体" w:cs="宋体"/>
          <w:sz w:val="24"/>
        </w:rPr>
        <w:t>”</w:t>
      </w:r>
      <w:r>
        <w:rPr>
          <w:sz w:val="24"/>
        </w:rPr>
        <w:t>。</w:t>
      </w:r>
    </w:p>
    <w:p>
      <w:pPr>
        <w:tabs>
          <w:tab w:val="left" w:pos="3045"/>
        </w:tabs>
        <w:spacing w:line="500" w:lineRule="exact"/>
        <w:ind w:right="28" w:firstLine="482" w:firstLineChars="200"/>
        <w:rPr>
          <w:b/>
          <w:bCs/>
          <w:sz w:val="24"/>
        </w:rPr>
      </w:pPr>
      <w:r>
        <w:rPr>
          <w:b/>
          <w:bCs/>
          <w:sz w:val="24"/>
        </w:rPr>
        <w:t>四、价值类型</w:t>
      </w:r>
    </w:p>
    <w:p>
      <w:pPr>
        <w:tabs>
          <w:tab w:val="left" w:pos="3045"/>
        </w:tabs>
        <w:spacing w:line="500" w:lineRule="exact"/>
        <w:ind w:right="28" w:firstLine="480" w:firstLineChars="200"/>
        <w:rPr>
          <w:sz w:val="24"/>
        </w:rPr>
      </w:pPr>
      <w:r>
        <w:rPr>
          <w:sz w:val="24"/>
        </w:rPr>
        <w:t>本次评估所选择的价值类型为市场价值。市场价值是指自愿买方和自愿卖方在各自理性行事且未受任何强迫的情况下，评估对象在评估基准日进行正常公平交易的价值估计数额。</w:t>
      </w:r>
    </w:p>
    <w:p>
      <w:pPr>
        <w:tabs>
          <w:tab w:val="left" w:pos="3045"/>
        </w:tabs>
        <w:spacing w:line="500" w:lineRule="exact"/>
        <w:ind w:right="28" w:firstLine="482" w:firstLineChars="200"/>
        <w:rPr>
          <w:b/>
          <w:bCs/>
          <w:sz w:val="24"/>
        </w:rPr>
      </w:pPr>
      <w:r>
        <w:rPr>
          <w:b/>
          <w:bCs/>
          <w:sz w:val="24"/>
        </w:rPr>
        <w:t>五、评估基准日</w:t>
      </w:r>
    </w:p>
    <w:p>
      <w:pPr>
        <w:spacing w:line="500" w:lineRule="exact"/>
        <w:ind w:firstLine="480" w:firstLineChars="200"/>
      </w:pPr>
      <w:r>
        <w:rPr>
          <w:sz w:val="24"/>
        </w:rPr>
        <w:t>评估基准</w:t>
      </w:r>
      <w:r>
        <w:rPr>
          <w:rFonts w:hint="default" w:ascii="Times New Roman" w:hAnsi="Times New Roman" w:cs="Times New Roman"/>
          <w:sz w:val="24"/>
        </w:rPr>
        <w:t>日为</w:t>
      </w:r>
      <w:r>
        <w:rPr>
          <w:rFonts w:hint="default" w:ascii="Times New Roman" w:hAnsi="Times New Roman" w:cs="Times New Roman"/>
          <w:sz w:val="24"/>
          <w:lang w:eastAsia="zh-CN"/>
        </w:rPr>
        <w:t>2021年01月08日</w:t>
      </w:r>
      <w:r>
        <w:rPr>
          <w:sz w:val="24"/>
        </w:rPr>
        <w:t>，一切取价标准均为评估基准日有效的价格标准。</w:t>
      </w:r>
    </w:p>
    <w:p>
      <w:pPr>
        <w:spacing w:line="500" w:lineRule="exact"/>
        <w:ind w:firstLine="482" w:firstLineChars="200"/>
        <w:jc w:val="left"/>
        <w:rPr>
          <w:b/>
          <w:sz w:val="24"/>
        </w:rPr>
      </w:pPr>
      <w:r>
        <w:rPr>
          <w:b/>
          <w:sz w:val="24"/>
        </w:rPr>
        <w:t>六、评估方法</w:t>
      </w:r>
    </w:p>
    <w:p>
      <w:pPr>
        <w:spacing w:line="500" w:lineRule="exact"/>
        <w:ind w:firstLine="480"/>
        <w:jc w:val="left"/>
        <w:rPr>
          <w:sz w:val="24"/>
        </w:rPr>
      </w:pPr>
      <w:r>
        <w:rPr>
          <w:sz w:val="24"/>
        </w:rPr>
        <w:t>本项目资产评估方法采用</w:t>
      </w:r>
      <w:r>
        <w:rPr>
          <w:rFonts w:hint="eastAsia"/>
          <w:sz w:val="24"/>
          <w:lang w:val="en-US" w:eastAsia="zh-CN"/>
        </w:rPr>
        <w:t>资产基础法及收益法</w:t>
      </w:r>
      <w:r>
        <w:rPr>
          <w:sz w:val="24"/>
        </w:rPr>
        <w:t>。</w:t>
      </w:r>
    </w:p>
    <w:p>
      <w:pPr>
        <w:numPr>
          <w:ilvl w:val="0"/>
          <w:numId w:val="1"/>
        </w:numPr>
        <w:tabs>
          <w:tab w:val="left" w:pos="3045"/>
        </w:tabs>
        <w:spacing w:line="500" w:lineRule="exact"/>
        <w:ind w:right="28" w:firstLine="482" w:firstLineChars="200"/>
        <w:rPr>
          <w:b/>
          <w:bCs/>
          <w:sz w:val="24"/>
        </w:rPr>
      </w:pPr>
      <w:r>
        <w:rPr>
          <w:b/>
          <w:bCs/>
          <w:sz w:val="24"/>
        </w:rPr>
        <w:t>特别事项说明</w:t>
      </w:r>
    </w:p>
    <w:p>
      <w:pPr>
        <w:spacing w:line="500" w:lineRule="exact"/>
        <w:ind w:firstLine="480" w:firstLineChars="200"/>
        <w:rPr>
          <w:sz w:val="24"/>
        </w:rPr>
      </w:pPr>
      <w:r>
        <w:rPr>
          <w:sz w:val="24"/>
        </w:rPr>
        <w:t>（一）</w:t>
      </w:r>
      <w:bookmarkStart w:id="13" w:name="_Hlk38877084"/>
      <w:r>
        <w:rPr>
          <w:color w:val="000000"/>
          <w:sz w:val="24"/>
        </w:rPr>
        <w:t>本评估报告</w:t>
      </w:r>
      <w:r>
        <w:rPr>
          <w:sz w:val="24"/>
        </w:rPr>
        <w:t>是在委托人及相关当事方人提供基础文件数据资料的基础上做出的。提供必要的资料并保证所提供的</w:t>
      </w:r>
      <w:r>
        <w:rPr>
          <w:color w:val="000000"/>
          <w:sz w:val="24"/>
        </w:rPr>
        <w:t>资料</w:t>
      </w:r>
      <w:r>
        <w:rPr>
          <w:sz w:val="24"/>
        </w:rPr>
        <w:t>的真实性、合法性、完整性是委托人及相关当事方人的责任；资产评估专业人员的责任是对评估对象在评估基准日特定目的下的价值进行分析、估算并发表专业意见。</w:t>
      </w:r>
    </w:p>
    <w:p>
      <w:pPr>
        <w:pStyle w:val="4"/>
        <w:spacing w:before="0" w:line="500" w:lineRule="exact"/>
        <w:ind w:firstLine="480" w:firstLineChars="200"/>
        <w:rPr>
          <w:sz w:val="24"/>
        </w:rPr>
      </w:pPr>
      <w:r>
        <w:rPr>
          <w:sz w:val="24"/>
        </w:rPr>
        <w:t>（二）委托人及相关当事方人对所提供的评估对象法律权属等资料的真实性、合法性和完整性承担责任；资产评估专业人员的责任是对该资料及其来源进行必要的查验和披露，不代表对本次委估资产的权属提供任何保证。对评估对象法律权属进行确认或发表意见超出资产评估专业人员执业范围。</w:t>
      </w:r>
    </w:p>
    <w:p>
      <w:pPr>
        <w:pStyle w:val="4"/>
        <w:spacing w:before="0" w:line="500" w:lineRule="exact"/>
        <w:ind w:firstLine="480" w:firstLineChars="200"/>
        <w:rPr>
          <w:sz w:val="24"/>
        </w:rPr>
      </w:pPr>
      <w:r>
        <w:rPr>
          <w:sz w:val="24"/>
        </w:rPr>
        <w:t>（三）本次评估</w:t>
      </w:r>
      <w:r>
        <w:rPr>
          <w:rFonts w:hint="eastAsia"/>
          <w:sz w:val="24"/>
          <w:lang w:val="en-US" w:eastAsia="zh-CN"/>
        </w:rPr>
        <w:t>房屋建筑物未取得产权证、土地未取得使用权证，房屋</w:t>
      </w:r>
      <w:r>
        <w:rPr>
          <w:sz w:val="24"/>
        </w:rPr>
        <w:t>建筑面积是根据</w:t>
      </w:r>
      <w:r>
        <w:rPr>
          <w:rFonts w:hint="eastAsia"/>
          <w:sz w:val="24"/>
          <w:lang w:val="en-US" w:eastAsia="zh-CN"/>
        </w:rPr>
        <w:t>委托人提供的房屋建筑设计图纸</w:t>
      </w:r>
      <w:r>
        <w:rPr>
          <w:rFonts w:hint="eastAsia"/>
          <w:sz w:val="24"/>
        </w:rPr>
        <w:t>确定的</w:t>
      </w:r>
      <w:r>
        <w:rPr>
          <w:rFonts w:hint="eastAsia"/>
          <w:sz w:val="24"/>
          <w:lang w:eastAsia="zh-CN"/>
        </w:rPr>
        <w:t>，土地面积是根据委托人提供的土地出让合同确定的</w:t>
      </w:r>
      <w:r>
        <w:rPr>
          <w:rFonts w:hint="eastAsia"/>
          <w:sz w:val="24"/>
        </w:rPr>
        <w:t>，</w:t>
      </w:r>
      <w:r>
        <w:rPr>
          <w:rFonts w:hint="eastAsia"/>
          <w:sz w:val="24"/>
          <w:lang w:val="en-US" w:eastAsia="zh-CN"/>
        </w:rPr>
        <w:t>本次评估</w:t>
      </w:r>
      <w:r>
        <w:rPr>
          <w:sz w:val="24"/>
        </w:rPr>
        <w:t>面积</w:t>
      </w:r>
      <w:r>
        <w:rPr>
          <w:rFonts w:hint="eastAsia"/>
          <w:sz w:val="24"/>
          <w:lang w:val="en-US" w:eastAsia="zh-CN"/>
        </w:rPr>
        <w:t>与</w:t>
      </w:r>
      <w:r>
        <w:rPr>
          <w:sz w:val="24"/>
        </w:rPr>
        <w:t>实际面积可能存在一定的误差，具体以权威部门认定为准</w:t>
      </w:r>
      <w:r>
        <w:rPr>
          <w:rFonts w:hint="eastAsia"/>
          <w:sz w:val="24"/>
        </w:rPr>
        <w:t>；</w:t>
      </w:r>
      <w:r>
        <w:rPr>
          <w:sz w:val="24"/>
        </w:rPr>
        <w:t>提请报告使用者关注其对评估结论的影响。</w:t>
      </w:r>
    </w:p>
    <w:p>
      <w:pPr>
        <w:spacing w:line="500" w:lineRule="exact"/>
        <w:ind w:firstLine="523" w:firstLineChars="218"/>
        <w:rPr>
          <w:color w:val="000000"/>
          <w:sz w:val="24"/>
        </w:rPr>
      </w:pPr>
      <w:r>
        <w:rPr>
          <w:sz w:val="24"/>
        </w:rPr>
        <w:t>（</w:t>
      </w:r>
      <w:r>
        <w:rPr>
          <w:rFonts w:hint="eastAsia"/>
          <w:sz w:val="24"/>
          <w:lang w:val="en-US" w:eastAsia="zh-CN"/>
        </w:rPr>
        <w:t>四</w:t>
      </w:r>
      <w:r>
        <w:rPr>
          <w:sz w:val="24"/>
        </w:rPr>
        <w:t>）</w:t>
      </w:r>
      <w:r>
        <w:rPr>
          <w:color w:val="000000"/>
          <w:sz w:val="24"/>
        </w:rPr>
        <w:t>本次评估过程中，没有使用专用仪器对</w:t>
      </w:r>
      <w:r>
        <w:rPr>
          <w:rFonts w:hint="eastAsia"/>
          <w:color w:val="000000"/>
          <w:sz w:val="24"/>
          <w:lang w:eastAsia="zh-CN"/>
        </w:rPr>
        <w:t>房屋建筑物</w:t>
      </w:r>
      <w:r>
        <w:rPr>
          <w:color w:val="000000"/>
          <w:sz w:val="24"/>
        </w:rPr>
        <w:t>进行进一步的鉴定，评估结论也是在此基础上得出的。</w:t>
      </w:r>
    </w:p>
    <w:p>
      <w:pPr>
        <w:spacing w:line="500" w:lineRule="exact"/>
        <w:ind w:firstLine="523" w:firstLineChars="218"/>
        <w:rPr>
          <w:sz w:val="24"/>
        </w:rPr>
      </w:pPr>
      <w:r>
        <w:rPr>
          <w:sz w:val="24"/>
        </w:rPr>
        <w:t>（</w:t>
      </w:r>
      <w:r>
        <w:rPr>
          <w:rFonts w:hint="eastAsia"/>
          <w:sz w:val="24"/>
          <w:lang w:val="en-US" w:eastAsia="zh-CN"/>
        </w:rPr>
        <w:t>五</w:t>
      </w:r>
      <w:r>
        <w:rPr>
          <w:sz w:val="24"/>
        </w:rPr>
        <w:t>）本评估结论不应当被认为是对评估对象可实现价格的保证。</w:t>
      </w:r>
    </w:p>
    <w:p>
      <w:pPr>
        <w:spacing w:line="500" w:lineRule="exact"/>
        <w:ind w:firstLine="523" w:firstLineChars="218"/>
        <w:rPr>
          <w:rFonts w:hint="default" w:eastAsia="宋体"/>
          <w:sz w:val="24"/>
          <w:lang w:val="en-US" w:eastAsia="zh-CN"/>
        </w:rPr>
      </w:pPr>
      <w:r>
        <w:rPr>
          <w:rFonts w:hint="eastAsia"/>
          <w:sz w:val="24"/>
          <w:lang w:eastAsia="zh-CN"/>
        </w:rPr>
        <w:t>（</w:t>
      </w:r>
      <w:r>
        <w:rPr>
          <w:rFonts w:hint="eastAsia"/>
          <w:sz w:val="24"/>
          <w:lang w:val="en-US" w:eastAsia="zh-CN"/>
        </w:rPr>
        <w:t>六</w:t>
      </w:r>
      <w:r>
        <w:rPr>
          <w:rFonts w:hint="eastAsia"/>
          <w:sz w:val="24"/>
          <w:lang w:eastAsia="zh-CN"/>
        </w:rPr>
        <w:t>）</w:t>
      </w:r>
      <w:r>
        <w:rPr>
          <w:rFonts w:hint="eastAsia"/>
          <w:sz w:val="24"/>
          <w:lang w:val="en-US" w:eastAsia="zh-CN"/>
        </w:rPr>
        <w:t>本次评估中，待估资产于基准日尚未取得房屋产权证及土地使用权证，评估测算时假设待估资产已取得房屋产权证及土地使用权证，产权完整。</w:t>
      </w:r>
    </w:p>
    <w:bookmarkEnd w:id="13"/>
    <w:p>
      <w:pPr>
        <w:tabs>
          <w:tab w:val="left" w:pos="3045"/>
        </w:tabs>
        <w:spacing w:line="500" w:lineRule="exact"/>
        <w:ind w:right="28" w:firstLine="482" w:firstLineChars="200"/>
        <w:rPr>
          <w:b/>
          <w:sz w:val="24"/>
        </w:rPr>
      </w:pPr>
      <w:r>
        <w:rPr>
          <w:b/>
          <w:sz w:val="24"/>
        </w:rPr>
        <w:t>八、评估结论</w:t>
      </w:r>
    </w:p>
    <w:p>
      <w:pPr>
        <w:tabs>
          <w:tab w:val="left" w:pos="3045"/>
        </w:tabs>
        <w:spacing w:line="500" w:lineRule="exact"/>
        <w:ind w:right="28" w:firstLine="480" w:firstLineChars="200"/>
        <w:rPr>
          <w:rFonts w:hint="eastAsia" w:ascii="Times New Roman" w:hAnsi="Times New Roman" w:cs="Times New Roman"/>
          <w:b w:val="0"/>
          <w:bCs/>
          <w:sz w:val="24"/>
          <w:lang w:val="en-US" w:eastAsia="zh-CN"/>
        </w:rPr>
      </w:pPr>
      <w:r>
        <w:rPr>
          <w:rFonts w:hint="default" w:ascii="Times New Roman" w:hAnsi="Times New Roman" w:cs="Times New Roman"/>
          <w:b w:val="0"/>
          <w:bCs/>
          <w:sz w:val="24"/>
          <w:lang w:val="en-US" w:eastAsia="zh-CN"/>
        </w:rPr>
        <w:t>1、</w:t>
      </w:r>
      <w:r>
        <w:rPr>
          <w:rFonts w:hint="eastAsia" w:ascii="Times New Roman" w:hAnsi="Times New Roman" w:cs="Times New Roman"/>
          <w:b w:val="0"/>
          <w:bCs/>
          <w:sz w:val="24"/>
          <w:lang w:val="en-US" w:eastAsia="zh-CN"/>
        </w:rPr>
        <w:t>资产基础法评估结果</w:t>
      </w:r>
    </w:p>
    <w:p>
      <w:pPr>
        <w:spacing w:line="500" w:lineRule="exact"/>
        <w:ind w:firstLine="480" w:firstLineChars="200"/>
        <w:rPr>
          <w:b w:val="0"/>
          <w:bCs w:val="0"/>
          <w:color w:val="000000"/>
          <w:kern w:val="0"/>
          <w:sz w:val="24"/>
        </w:rPr>
      </w:pPr>
      <w:r>
        <w:rPr>
          <w:color w:val="000000"/>
          <w:kern w:val="0"/>
          <w:sz w:val="24"/>
        </w:rPr>
        <w:t>经评估，于评估基准</w:t>
      </w:r>
      <w:r>
        <w:rPr>
          <w:rFonts w:hint="default" w:ascii="Times New Roman" w:hAnsi="Times New Roman" w:cs="Times New Roman"/>
          <w:color w:val="000000"/>
          <w:kern w:val="0"/>
          <w:sz w:val="24"/>
        </w:rPr>
        <w:t>日</w:t>
      </w:r>
      <w:r>
        <w:rPr>
          <w:rFonts w:hint="default" w:ascii="Times New Roman" w:hAnsi="Times New Roman" w:cs="Times New Roman"/>
          <w:color w:val="000000"/>
          <w:kern w:val="0"/>
          <w:sz w:val="24"/>
          <w:lang w:eastAsia="zh-CN"/>
        </w:rPr>
        <w:t>2021年01月08日</w:t>
      </w:r>
      <w:r>
        <w:rPr>
          <w:color w:val="000000"/>
          <w:kern w:val="0"/>
          <w:sz w:val="24"/>
        </w:rPr>
        <w:t>，</w:t>
      </w:r>
      <w:r>
        <w:rPr>
          <w:rFonts w:hint="eastAsia"/>
          <w:color w:val="000000"/>
          <w:kern w:val="0"/>
          <w:sz w:val="24"/>
          <w:lang w:eastAsia="zh-CN"/>
        </w:rPr>
        <w:t>江苏省剑丰农业实业有限公司</w:t>
      </w:r>
      <w:r>
        <w:rPr>
          <w:color w:val="000000"/>
          <w:kern w:val="0"/>
          <w:sz w:val="24"/>
        </w:rPr>
        <w:t>拟</w:t>
      </w:r>
      <w:r>
        <w:rPr>
          <w:rFonts w:hint="eastAsia"/>
          <w:color w:val="000000"/>
          <w:kern w:val="0"/>
          <w:sz w:val="24"/>
          <w:lang w:val="en-US" w:eastAsia="zh-CN"/>
        </w:rPr>
        <w:t>收购的</w:t>
      </w:r>
      <w:r>
        <w:rPr>
          <w:rFonts w:hint="eastAsia"/>
          <w:color w:val="000000"/>
          <w:kern w:val="0"/>
          <w:sz w:val="24"/>
          <w:lang w:eastAsia="zh-CN"/>
        </w:rPr>
        <w:t>盐城大丰天州机械制造有限公司所属</w:t>
      </w:r>
      <w:r>
        <w:rPr>
          <w:rFonts w:hint="eastAsia"/>
          <w:color w:val="000000"/>
          <w:kern w:val="0"/>
          <w:sz w:val="24"/>
          <w:lang w:val="en-US" w:eastAsia="zh-CN"/>
        </w:rPr>
        <w:t>房屋建筑物及土地使用权</w:t>
      </w:r>
      <w:r>
        <w:rPr>
          <w:color w:val="000000"/>
          <w:kern w:val="0"/>
          <w:sz w:val="24"/>
        </w:rPr>
        <w:t>在满足假设前提下的市场价值为</w:t>
      </w:r>
      <w:r>
        <w:rPr>
          <w:rFonts w:hint="default" w:ascii="Times New Roman" w:hAnsi="Times New Roman" w:cs="Times New Roman"/>
          <w:color w:val="000000"/>
          <w:kern w:val="0"/>
          <w:sz w:val="24"/>
        </w:rPr>
        <w:t>人民币</w:t>
      </w:r>
      <w:r>
        <w:rPr>
          <w:rFonts w:hint="eastAsia" w:ascii="Times New Roman" w:hAnsi="Times New Roman" w:cs="Times New Roman"/>
          <w:b w:val="0"/>
          <w:bCs w:val="0"/>
          <w:color w:val="000000"/>
          <w:kern w:val="0"/>
          <w:sz w:val="24"/>
          <w:lang w:val="en-US" w:eastAsia="zh-CN"/>
        </w:rPr>
        <w:t>16,660,754.00</w:t>
      </w:r>
      <w:r>
        <w:rPr>
          <w:rFonts w:hint="default" w:ascii="Times New Roman" w:hAnsi="Times New Roman" w:cs="Times New Roman"/>
          <w:b w:val="0"/>
          <w:bCs w:val="0"/>
          <w:color w:val="000000"/>
          <w:kern w:val="0"/>
          <w:sz w:val="24"/>
        </w:rPr>
        <w:t xml:space="preserve"> 元</w:t>
      </w:r>
      <w:r>
        <w:rPr>
          <w:b w:val="0"/>
          <w:bCs w:val="0"/>
          <w:color w:val="000000"/>
          <w:kern w:val="0"/>
          <w:sz w:val="24"/>
        </w:rPr>
        <w:t>（大写人民币：</w:t>
      </w:r>
      <w:r>
        <w:rPr>
          <w:rFonts w:hint="eastAsia"/>
          <w:b w:val="0"/>
          <w:bCs w:val="0"/>
          <w:color w:val="000000"/>
          <w:kern w:val="0"/>
          <w:sz w:val="24"/>
          <w:lang w:val="en-US" w:eastAsia="zh-CN"/>
        </w:rPr>
        <w:t>壹仟陆佰陆拾陆万零柒佰伍拾肆元整</w:t>
      </w:r>
      <w:r>
        <w:rPr>
          <w:b w:val="0"/>
          <w:bCs w:val="0"/>
          <w:color w:val="000000"/>
          <w:kern w:val="0"/>
          <w:sz w:val="24"/>
        </w:rPr>
        <w:t>）。</w:t>
      </w:r>
    </w:p>
    <w:p>
      <w:pPr>
        <w:numPr>
          <w:ilvl w:val="0"/>
          <w:numId w:val="2"/>
        </w:numPr>
        <w:tabs>
          <w:tab w:val="left" w:pos="3045"/>
        </w:tabs>
        <w:spacing w:line="500" w:lineRule="exact"/>
        <w:ind w:right="28" w:firstLine="480" w:firstLineChars="200"/>
        <w:rPr>
          <w:rFonts w:hint="default" w:ascii="Times New Roman" w:hAnsi="Times New Roman" w:cs="Times New Roman"/>
          <w:b w:val="0"/>
          <w:bCs/>
          <w:sz w:val="24"/>
          <w:lang w:val="en-US" w:eastAsia="zh-CN"/>
        </w:rPr>
      </w:pPr>
      <w:r>
        <w:rPr>
          <w:rFonts w:hint="eastAsia" w:ascii="Times New Roman" w:hAnsi="Times New Roman" w:cs="Times New Roman"/>
          <w:b w:val="0"/>
          <w:bCs/>
          <w:sz w:val="24"/>
          <w:lang w:val="en-US" w:eastAsia="zh-CN"/>
        </w:rPr>
        <w:t>收益法评估结果</w:t>
      </w:r>
    </w:p>
    <w:p>
      <w:pPr>
        <w:spacing w:line="500" w:lineRule="exact"/>
        <w:ind w:firstLine="480" w:firstLineChars="200"/>
        <w:rPr>
          <w:b w:val="0"/>
          <w:bCs w:val="0"/>
          <w:color w:val="000000"/>
          <w:kern w:val="0"/>
          <w:sz w:val="24"/>
        </w:rPr>
      </w:pPr>
      <w:r>
        <w:rPr>
          <w:color w:val="000000"/>
          <w:kern w:val="0"/>
          <w:sz w:val="24"/>
        </w:rPr>
        <w:t>经评估，于评估基准</w:t>
      </w:r>
      <w:r>
        <w:rPr>
          <w:rFonts w:hint="default" w:ascii="Times New Roman" w:hAnsi="Times New Roman" w:cs="Times New Roman"/>
          <w:color w:val="000000"/>
          <w:kern w:val="0"/>
          <w:sz w:val="24"/>
        </w:rPr>
        <w:t>日</w:t>
      </w:r>
      <w:r>
        <w:rPr>
          <w:rFonts w:hint="default" w:ascii="Times New Roman" w:hAnsi="Times New Roman" w:cs="Times New Roman"/>
          <w:color w:val="000000"/>
          <w:kern w:val="0"/>
          <w:sz w:val="24"/>
          <w:lang w:eastAsia="zh-CN"/>
        </w:rPr>
        <w:t>2021年01月08日</w:t>
      </w:r>
      <w:r>
        <w:rPr>
          <w:color w:val="000000"/>
          <w:kern w:val="0"/>
          <w:sz w:val="24"/>
        </w:rPr>
        <w:t>，</w:t>
      </w:r>
      <w:r>
        <w:rPr>
          <w:rFonts w:hint="eastAsia"/>
          <w:color w:val="000000"/>
          <w:kern w:val="0"/>
          <w:sz w:val="24"/>
          <w:lang w:eastAsia="zh-CN"/>
        </w:rPr>
        <w:t>江苏省剑丰农业实业有限公司</w:t>
      </w:r>
      <w:r>
        <w:rPr>
          <w:color w:val="000000"/>
          <w:kern w:val="0"/>
          <w:sz w:val="24"/>
        </w:rPr>
        <w:t>拟</w:t>
      </w:r>
      <w:r>
        <w:rPr>
          <w:rFonts w:hint="eastAsia"/>
          <w:color w:val="000000"/>
          <w:kern w:val="0"/>
          <w:sz w:val="24"/>
          <w:lang w:val="en-US" w:eastAsia="zh-CN"/>
        </w:rPr>
        <w:t>收购的</w:t>
      </w:r>
      <w:r>
        <w:rPr>
          <w:rFonts w:hint="eastAsia"/>
          <w:color w:val="000000"/>
          <w:kern w:val="0"/>
          <w:sz w:val="24"/>
          <w:lang w:eastAsia="zh-CN"/>
        </w:rPr>
        <w:t>盐城大丰天州机械制造有限公司所属</w:t>
      </w:r>
      <w:r>
        <w:rPr>
          <w:rFonts w:hint="eastAsia"/>
          <w:color w:val="000000"/>
          <w:kern w:val="0"/>
          <w:sz w:val="24"/>
          <w:lang w:val="en-US" w:eastAsia="zh-CN"/>
        </w:rPr>
        <w:t>房屋建筑物及土地使用权</w:t>
      </w:r>
      <w:r>
        <w:rPr>
          <w:color w:val="000000"/>
          <w:kern w:val="0"/>
          <w:sz w:val="24"/>
        </w:rPr>
        <w:t>在满足假设前提下的市场价值为</w:t>
      </w:r>
      <w:r>
        <w:rPr>
          <w:rFonts w:hint="default" w:ascii="Times New Roman" w:hAnsi="Times New Roman" w:cs="Times New Roman"/>
          <w:color w:val="000000"/>
          <w:kern w:val="0"/>
          <w:sz w:val="24"/>
        </w:rPr>
        <w:t>人民币</w:t>
      </w:r>
      <w:r>
        <w:rPr>
          <w:rFonts w:hint="eastAsia" w:ascii="Times New Roman" w:hAnsi="Times New Roman" w:cs="Times New Roman"/>
          <w:b w:val="0"/>
          <w:bCs w:val="0"/>
          <w:color w:val="000000"/>
          <w:kern w:val="0"/>
          <w:sz w:val="24"/>
          <w:lang w:val="en-US" w:eastAsia="zh-CN"/>
        </w:rPr>
        <w:t>16,623,062.00</w:t>
      </w:r>
      <w:r>
        <w:rPr>
          <w:rFonts w:hint="default" w:ascii="Times New Roman" w:hAnsi="Times New Roman" w:cs="Times New Roman"/>
          <w:b w:val="0"/>
          <w:bCs w:val="0"/>
          <w:color w:val="000000"/>
          <w:kern w:val="0"/>
          <w:sz w:val="24"/>
        </w:rPr>
        <w:t>元</w:t>
      </w:r>
      <w:r>
        <w:rPr>
          <w:b w:val="0"/>
          <w:bCs w:val="0"/>
          <w:color w:val="000000"/>
          <w:kern w:val="0"/>
          <w:sz w:val="24"/>
        </w:rPr>
        <w:t>（大写人民币：</w:t>
      </w:r>
      <w:r>
        <w:rPr>
          <w:rFonts w:hint="eastAsia"/>
          <w:b w:val="0"/>
          <w:bCs w:val="0"/>
          <w:color w:val="000000"/>
          <w:kern w:val="0"/>
          <w:sz w:val="24"/>
          <w:lang w:val="en-US" w:eastAsia="zh-CN"/>
        </w:rPr>
        <w:t>壹仟陆佰陆拾贰万叁仟零陆拾贰元整</w:t>
      </w:r>
      <w:r>
        <w:rPr>
          <w:b w:val="0"/>
          <w:bCs w:val="0"/>
          <w:color w:val="000000"/>
          <w:kern w:val="0"/>
          <w:sz w:val="24"/>
        </w:rPr>
        <w:t>）。</w:t>
      </w:r>
    </w:p>
    <w:p>
      <w:pPr>
        <w:numPr>
          <w:ilvl w:val="0"/>
          <w:numId w:val="2"/>
        </w:numPr>
        <w:tabs>
          <w:tab w:val="left" w:pos="3045"/>
        </w:tabs>
        <w:spacing w:line="500" w:lineRule="exact"/>
        <w:ind w:right="28" w:firstLine="480" w:firstLineChars="200"/>
        <w:rPr>
          <w:rFonts w:hint="default" w:ascii="Times New Roman" w:hAnsi="Times New Roman" w:cs="Times New Roman"/>
          <w:b w:val="0"/>
          <w:bCs/>
          <w:sz w:val="24"/>
          <w:lang w:val="en-US" w:eastAsia="zh-CN"/>
        </w:rPr>
      </w:pPr>
      <w:r>
        <w:rPr>
          <w:rFonts w:hint="default" w:ascii="Times New Roman" w:hAnsi="Times New Roman" w:cs="Times New Roman"/>
          <w:b w:val="0"/>
          <w:bCs/>
          <w:sz w:val="24"/>
          <w:lang w:val="en-US" w:eastAsia="zh-CN"/>
        </w:rPr>
        <w:t>两种评估方法得出结果的比较与分析</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如前所述，采用资产基础法和收益法两种评估方法</w:t>
      </w:r>
      <w:r>
        <w:rPr>
          <w:rFonts w:hint="eastAsia" w:ascii="Times New Roman" w:hAnsi="Times New Roman" w:cs="Times New Roman"/>
          <w:color w:val="000000"/>
          <w:sz w:val="24"/>
          <w:lang w:val="en-US" w:eastAsia="zh-CN"/>
        </w:rPr>
        <w:t>得到</w:t>
      </w:r>
      <w:r>
        <w:rPr>
          <w:rFonts w:hint="default" w:ascii="Times New Roman" w:hAnsi="Times New Roman" w:cs="Times New Roman"/>
          <w:color w:val="000000"/>
          <w:sz w:val="24"/>
        </w:rPr>
        <w:t>的评估结果差异</w:t>
      </w:r>
      <w:r>
        <w:rPr>
          <w:rFonts w:hint="eastAsia" w:ascii="Times New Roman" w:hAnsi="Times New Roman" w:cs="Times New Roman"/>
          <w:color w:val="000000"/>
          <w:sz w:val="24"/>
          <w:lang w:val="en-US" w:eastAsia="zh-CN"/>
        </w:rPr>
        <w:t>37,692.00元</w:t>
      </w:r>
      <w:r>
        <w:rPr>
          <w:rFonts w:hint="default" w:ascii="Times New Roman" w:hAnsi="Times New Roman" w:cs="Times New Roman"/>
          <w:color w:val="000000"/>
          <w:sz w:val="24"/>
        </w:rPr>
        <w:t>，差异率为</w:t>
      </w:r>
      <w:r>
        <w:rPr>
          <w:rFonts w:hint="eastAsia" w:ascii="Times New Roman" w:hAnsi="Times New Roman" w:cs="Times New Roman"/>
          <w:color w:val="000000"/>
          <w:sz w:val="24"/>
          <w:lang w:val="en-US" w:eastAsia="zh-CN"/>
        </w:rPr>
        <w:t>0.23</w:t>
      </w:r>
      <w:r>
        <w:rPr>
          <w:rFonts w:hint="default" w:ascii="Times New Roman" w:hAnsi="Times New Roman" w:cs="Times New Roman"/>
          <w:color w:val="000000"/>
          <w:sz w:val="24"/>
          <w:lang w:val="en-US" w:eastAsia="zh-CN"/>
        </w:rPr>
        <w:t>%</w:t>
      </w:r>
      <w:r>
        <w:rPr>
          <w:rFonts w:hint="default" w:ascii="Times New Roman" w:hAnsi="Times New Roman" w:cs="Times New Roman"/>
          <w:color w:val="000000"/>
          <w:sz w:val="24"/>
        </w:rPr>
        <w:t>（存在尾数误差）。</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sz w:val="24"/>
          <w:lang w:val="en-US" w:eastAsia="zh-CN"/>
        </w:rPr>
      </w:pPr>
      <w:r>
        <w:rPr>
          <w:rFonts w:hint="eastAsia"/>
          <w:sz w:val="24"/>
          <w:highlight w:val="none"/>
          <w:lang w:val="en-US" w:eastAsia="zh-CN"/>
        </w:rPr>
        <w:t>综合以上分析，资产基础法评估值与收益法评估值相差不大，无论是资产基础法，还是收益法都是符合评估规范的要求，所以资产基础法与市场发所得出的评估值都是合理的，故选取二者均值最为最终评估值。</w:t>
      </w:r>
    </w:p>
    <w:p>
      <w:pPr>
        <w:numPr>
          <w:ilvl w:val="0"/>
          <w:numId w:val="2"/>
        </w:numPr>
        <w:tabs>
          <w:tab w:val="left" w:pos="3045"/>
        </w:tabs>
        <w:spacing w:line="500" w:lineRule="exact"/>
        <w:ind w:right="28" w:firstLine="480" w:firstLineChars="200"/>
        <w:rPr>
          <w:rFonts w:hint="default" w:ascii="Times New Roman" w:hAnsi="Times New Roman" w:cs="Times New Roman"/>
          <w:b w:val="0"/>
          <w:bCs/>
          <w:sz w:val="24"/>
          <w:lang w:val="en-US" w:eastAsia="zh-CN"/>
        </w:rPr>
      </w:pPr>
      <w:r>
        <w:rPr>
          <w:rFonts w:hint="eastAsia" w:ascii="Times New Roman" w:hAnsi="Times New Roman" w:cs="Times New Roman"/>
          <w:b w:val="0"/>
          <w:bCs/>
          <w:sz w:val="24"/>
          <w:lang w:val="en-US" w:eastAsia="zh-CN"/>
        </w:rPr>
        <w:t>最终评估结论</w:t>
      </w:r>
    </w:p>
    <w:p>
      <w:pPr>
        <w:spacing w:line="500" w:lineRule="exact"/>
        <w:ind w:firstLine="480" w:firstLineChars="200"/>
        <w:rPr>
          <w:color w:val="000000"/>
          <w:kern w:val="0"/>
          <w:sz w:val="24"/>
        </w:rPr>
      </w:pPr>
      <w:r>
        <w:rPr>
          <w:color w:val="000000"/>
          <w:kern w:val="0"/>
          <w:sz w:val="24"/>
        </w:rPr>
        <w:t>经评估，于评估基准</w:t>
      </w:r>
      <w:r>
        <w:rPr>
          <w:rFonts w:hint="default" w:ascii="Times New Roman" w:hAnsi="Times New Roman" w:cs="Times New Roman"/>
          <w:color w:val="000000"/>
          <w:kern w:val="0"/>
          <w:sz w:val="24"/>
        </w:rPr>
        <w:t>日</w:t>
      </w:r>
      <w:r>
        <w:rPr>
          <w:rFonts w:hint="default" w:ascii="Times New Roman" w:hAnsi="Times New Roman" w:cs="Times New Roman"/>
          <w:color w:val="000000"/>
          <w:kern w:val="0"/>
          <w:sz w:val="24"/>
          <w:lang w:eastAsia="zh-CN"/>
        </w:rPr>
        <w:t>2021年01月08日</w:t>
      </w:r>
      <w:r>
        <w:rPr>
          <w:color w:val="000000"/>
          <w:kern w:val="0"/>
          <w:sz w:val="24"/>
        </w:rPr>
        <w:t>，</w:t>
      </w:r>
      <w:r>
        <w:rPr>
          <w:rFonts w:hint="eastAsia"/>
          <w:color w:val="000000"/>
          <w:kern w:val="0"/>
          <w:sz w:val="24"/>
          <w:lang w:eastAsia="zh-CN"/>
        </w:rPr>
        <w:t>江苏省剑丰农业实业有限公司</w:t>
      </w:r>
      <w:r>
        <w:rPr>
          <w:color w:val="000000"/>
          <w:kern w:val="0"/>
          <w:sz w:val="24"/>
        </w:rPr>
        <w:t>拟</w:t>
      </w:r>
      <w:r>
        <w:rPr>
          <w:rFonts w:hint="eastAsia"/>
          <w:color w:val="000000"/>
          <w:kern w:val="0"/>
          <w:sz w:val="24"/>
          <w:lang w:val="en-US" w:eastAsia="zh-CN"/>
        </w:rPr>
        <w:t>收购的</w:t>
      </w:r>
      <w:r>
        <w:rPr>
          <w:rFonts w:hint="eastAsia"/>
          <w:color w:val="000000"/>
          <w:kern w:val="0"/>
          <w:sz w:val="24"/>
          <w:lang w:eastAsia="zh-CN"/>
        </w:rPr>
        <w:t>盐城大丰天州机械制造有限公司所属</w:t>
      </w:r>
      <w:r>
        <w:rPr>
          <w:rFonts w:hint="eastAsia"/>
          <w:color w:val="000000"/>
          <w:kern w:val="0"/>
          <w:sz w:val="24"/>
          <w:lang w:val="en-US" w:eastAsia="zh-CN"/>
        </w:rPr>
        <w:t>房屋建筑物及土地使用权</w:t>
      </w:r>
      <w:r>
        <w:rPr>
          <w:color w:val="000000"/>
          <w:kern w:val="0"/>
          <w:sz w:val="24"/>
        </w:rPr>
        <w:t>在满足假设前提下的市场价值为</w:t>
      </w:r>
      <w:r>
        <w:rPr>
          <w:rFonts w:hint="default" w:ascii="Times New Roman" w:hAnsi="Times New Roman" w:cs="Times New Roman"/>
          <w:color w:val="000000"/>
          <w:kern w:val="0"/>
          <w:sz w:val="24"/>
        </w:rPr>
        <w:t>人民币</w:t>
      </w:r>
      <w:r>
        <w:rPr>
          <w:rFonts w:hint="eastAsia" w:ascii="Times New Roman" w:hAnsi="Times New Roman" w:cs="Times New Roman"/>
          <w:b/>
          <w:bCs/>
          <w:color w:val="000000"/>
          <w:kern w:val="0"/>
          <w:sz w:val="24"/>
          <w:lang w:val="en-US" w:eastAsia="zh-CN"/>
        </w:rPr>
        <w:t>16,641,908.00</w:t>
      </w:r>
      <w:r>
        <w:rPr>
          <w:rFonts w:hint="default" w:ascii="Times New Roman" w:hAnsi="Times New Roman" w:cs="Times New Roman"/>
          <w:b/>
          <w:bCs/>
          <w:color w:val="000000"/>
          <w:kern w:val="0"/>
          <w:sz w:val="24"/>
        </w:rPr>
        <w:t xml:space="preserve"> 元</w:t>
      </w:r>
      <w:r>
        <w:rPr>
          <w:b/>
          <w:bCs/>
          <w:color w:val="000000"/>
          <w:kern w:val="0"/>
          <w:sz w:val="24"/>
        </w:rPr>
        <w:t>（大写人民币：</w:t>
      </w:r>
      <w:r>
        <w:rPr>
          <w:rFonts w:hint="eastAsia"/>
          <w:b/>
          <w:bCs/>
          <w:color w:val="000000"/>
          <w:kern w:val="0"/>
          <w:sz w:val="24"/>
          <w:lang w:val="en-US" w:eastAsia="zh-CN"/>
        </w:rPr>
        <w:t>壹仟陆佰陆拾肆万壹仟玖佰零捌元整</w:t>
      </w:r>
      <w:r>
        <w:rPr>
          <w:b/>
          <w:bCs/>
          <w:color w:val="000000"/>
          <w:kern w:val="0"/>
          <w:sz w:val="24"/>
        </w:rPr>
        <w:t>）</w:t>
      </w:r>
      <w:r>
        <w:rPr>
          <w:color w:val="000000"/>
          <w:kern w:val="0"/>
          <w:sz w:val="24"/>
        </w:rPr>
        <w:t>。</w:t>
      </w:r>
    </w:p>
    <w:p>
      <w:pPr>
        <w:spacing w:line="500" w:lineRule="exact"/>
        <w:ind w:firstLine="480" w:firstLineChars="200"/>
        <w:rPr>
          <w:sz w:val="24"/>
        </w:rPr>
      </w:pPr>
      <w:r>
        <w:rPr>
          <w:sz w:val="24"/>
        </w:rPr>
        <w:t>资产评估结果详见附件</w:t>
      </w:r>
      <w:r>
        <w:rPr>
          <w:rFonts w:hint="eastAsia"/>
          <w:sz w:val="24"/>
          <w:lang w:eastAsia="zh-CN"/>
        </w:rPr>
        <w:t>“</w:t>
      </w:r>
      <w:r>
        <w:rPr>
          <w:rFonts w:hint="eastAsia" w:ascii="宋体" w:hAnsi="宋体" w:eastAsia="宋体" w:cs="宋体"/>
          <w:sz w:val="24"/>
          <w:lang w:eastAsia="zh-CN"/>
        </w:rPr>
        <w:t>资产评估汇总及明细表</w:t>
      </w:r>
      <w:r>
        <w:rPr>
          <w:rFonts w:hint="eastAsia"/>
          <w:sz w:val="24"/>
          <w:lang w:eastAsia="zh-CN"/>
        </w:rPr>
        <w:t>”</w:t>
      </w:r>
      <w:r>
        <w:rPr>
          <w:sz w:val="24"/>
        </w:rPr>
        <w:t>。</w:t>
      </w:r>
    </w:p>
    <w:p>
      <w:pPr>
        <w:tabs>
          <w:tab w:val="left" w:pos="3045"/>
        </w:tabs>
        <w:spacing w:line="500" w:lineRule="exact"/>
        <w:ind w:right="28" w:firstLine="482" w:firstLineChars="200"/>
        <w:rPr>
          <w:color w:val="000000"/>
          <w:kern w:val="0"/>
          <w:sz w:val="24"/>
        </w:rPr>
      </w:pPr>
      <w:r>
        <w:rPr>
          <w:b/>
          <w:sz w:val="24"/>
        </w:rPr>
        <w:t>以上评估结论是在一定的前提条件下成立的，评估报告使用者应当充分考虑评估报告中载明的假设、限定条件、特别事项说明及其对评估结论的影响。</w:t>
      </w:r>
    </w:p>
    <w:p>
      <w:pPr>
        <w:tabs>
          <w:tab w:val="left" w:pos="3045"/>
        </w:tabs>
        <w:spacing w:line="500" w:lineRule="exact"/>
        <w:ind w:right="28" w:firstLine="482" w:firstLineChars="200"/>
        <w:rPr>
          <w:b/>
          <w:bCs/>
          <w:sz w:val="24"/>
        </w:rPr>
      </w:pPr>
      <w:r>
        <w:rPr>
          <w:b/>
          <w:bCs/>
          <w:sz w:val="24"/>
        </w:rPr>
        <w:t>九、资产评估报告使用期限说明</w:t>
      </w:r>
    </w:p>
    <w:p>
      <w:pPr>
        <w:tabs>
          <w:tab w:val="left" w:pos="3045"/>
        </w:tabs>
        <w:spacing w:line="500" w:lineRule="exact"/>
        <w:ind w:right="28" w:firstLine="480" w:firstLineChars="200"/>
        <w:rPr>
          <w:sz w:val="24"/>
        </w:rPr>
      </w:pPr>
      <w:r>
        <w:rPr>
          <w:sz w:val="24"/>
        </w:rPr>
        <w:t>本评估报告的使用有效期原则上为自评估基准日起一年。</w:t>
      </w:r>
      <w:r>
        <w:rPr>
          <w:rFonts w:hint="default" w:ascii="Times New Roman" w:hAnsi="Times New Roman" w:cs="Times New Roman"/>
          <w:sz w:val="24"/>
        </w:rPr>
        <w:t>即从</w:t>
      </w:r>
      <w:r>
        <w:rPr>
          <w:rFonts w:hint="default" w:ascii="Times New Roman" w:hAnsi="Times New Roman" w:cs="Times New Roman"/>
          <w:sz w:val="24"/>
          <w:lang w:eastAsia="zh-CN"/>
        </w:rPr>
        <w:t>2021年01月08日</w:t>
      </w:r>
      <w:r>
        <w:rPr>
          <w:rFonts w:hint="default" w:ascii="Times New Roman" w:hAnsi="Times New Roman" w:cs="Times New Roman"/>
          <w:sz w:val="24"/>
        </w:rPr>
        <w:t>起至</w:t>
      </w:r>
      <w:r>
        <w:rPr>
          <w:rFonts w:hint="default" w:ascii="Times New Roman" w:hAnsi="Times New Roman" w:cs="Times New Roman"/>
          <w:sz w:val="24"/>
          <w:lang w:eastAsia="zh-CN"/>
        </w:rPr>
        <w:t>2022年01月07日</w:t>
      </w:r>
      <w:r>
        <w:rPr>
          <w:rFonts w:hint="default" w:ascii="Times New Roman" w:hAnsi="Times New Roman" w:cs="Times New Roman"/>
          <w:sz w:val="24"/>
        </w:rPr>
        <w:t>的期</w:t>
      </w:r>
      <w:r>
        <w:rPr>
          <w:sz w:val="24"/>
        </w:rPr>
        <w:t>限内有效。</w:t>
      </w:r>
    </w:p>
    <w:p>
      <w:pPr>
        <w:tabs>
          <w:tab w:val="left" w:pos="3045"/>
        </w:tabs>
        <w:spacing w:line="500" w:lineRule="exact"/>
        <w:ind w:right="28" w:firstLine="482" w:firstLineChars="200"/>
        <w:rPr>
          <w:b/>
          <w:sz w:val="24"/>
        </w:rPr>
      </w:pPr>
      <w:r>
        <w:rPr>
          <w:b/>
          <w:sz w:val="24"/>
        </w:rPr>
        <w:t>十、资产评估报告日</w:t>
      </w:r>
    </w:p>
    <w:p>
      <w:pPr>
        <w:tabs>
          <w:tab w:val="left" w:pos="3045"/>
        </w:tabs>
        <w:spacing w:line="500" w:lineRule="exact"/>
        <w:ind w:right="28" w:firstLine="480" w:firstLineChars="200"/>
        <w:rPr>
          <w:b/>
          <w:sz w:val="24"/>
        </w:rPr>
      </w:pPr>
      <w:r>
        <w:rPr>
          <w:sz w:val="24"/>
        </w:rPr>
        <w:t>评估报告</w:t>
      </w:r>
      <w:r>
        <w:rPr>
          <w:rFonts w:hint="default" w:ascii="Times New Roman" w:hAnsi="Times New Roman" w:cs="Times New Roman"/>
          <w:sz w:val="24"/>
        </w:rPr>
        <w:t>日为</w:t>
      </w:r>
      <w:r>
        <w:rPr>
          <w:rFonts w:hint="default" w:ascii="Times New Roman" w:hAnsi="Times New Roman" w:cs="Times New Roman"/>
          <w:sz w:val="24"/>
          <w:lang w:eastAsia="zh-CN"/>
        </w:rPr>
        <w:t>2021年01月11日</w:t>
      </w:r>
      <w:r>
        <w:rPr>
          <w:rFonts w:hint="default" w:ascii="Times New Roman" w:hAnsi="Times New Roman" w:cs="Times New Roman"/>
          <w:sz w:val="24"/>
        </w:rPr>
        <w:t>。</w:t>
      </w:r>
    </w:p>
    <w:p>
      <w:pPr>
        <w:spacing w:line="500" w:lineRule="exact"/>
        <w:rPr>
          <w:b/>
          <w:sz w:val="24"/>
        </w:rPr>
      </w:pPr>
      <w:r>
        <w:rPr>
          <w:b/>
          <w:sz w:val="24"/>
        </w:rPr>
        <w:t xml:space="preserve">   以上内容摘自资产评估报告正文，欲了解本评估业务的详细情况和正确理解评估结论，应当阅读资产评估报告正文。</w:t>
      </w:r>
    </w:p>
    <w:p>
      <w:pPr>
        <w:jc w:val="center"/>
        <w:rPr>
          <w:b/>
          <w:color w:val="000000"/>
          <w:w w:val="55"/>
          <w:sz w:val="72"/>
          <w:szCs w:val="72"/>
        </w:rPr>
      </w:pPr>
      <w:r>
        <w:rPr>
          <w:b/>
          <w:color w:val="000000"/>
          <w:w w:val="55"/>
          <w:sz w:val="72"/>
          <w:szCs w:val="72"/>
        </w:rPr>
        <w:br w:type="page"/>
      </w:r>
      <w:r>
        <w:rPr>
          <w:b/>
          <w:color w:val="000000"/>
          <w:w w:val="55"/>
          <w:sz w:val="72"/>
          <w:szCs w:val="72"/>
        </w:rPr>
        <w:t>江苏三师土地房地产资产评估测绘咨询有限公司</w:t>
      </w:r>
    </w:p>
    <w:p>
      <w:pPr>
        <w:jc w:val="center"/>
        <w:rPr>
          <w:rFonts w:hint="eastAsia" w:eastAsia="宋体"/>
          <w:sz w:val="24"/>
          <w:lang w:eastAsia="zh-CN"/>
        </w:rPr>
      </w:pPr>
      <w:r>
        <w:rPr>
          <w:rFonts w:hint="eastAsia"/>
          <w:sz w:val="24"/>
          <w:lang w:eastAsia="zh-CN"/>
        </w:rPr>
        <w:t>苏三师评报字</w:t>
      </w:r>
      <w:r>
        <w:rPr>
          <w:rFonts w:hint="default" w:ascii="Times New Roman" w:hAnsi="Times New Roman" w:cs="Times New Roman"/>
          <w:sz w:val="24"/>
          <w:lang w:eastAsia="zh-CN"/>
        </w:rPr>
        <w:t>（2021）第304</w:t>
      </w:r>
      <w:r>
        <w:rPr>
          <w:rFonts w:hint="eastAsia"/>
          <w:sz w:val="24"/>
          <w:lang w:eastAsia="zh-CN"/>
        </w:rPr>
        <w:t>号</w:t>
      </w:r>
    </w:p>
    <w:p>
      <w:pPr>
        <w:spacing w:line="400" w:lineRule="atLeast"/>
        <w:jc w:val="center"/>
        <w:rPr>
          <w:w w:val="80"/>
          <w:sz w:val="36"/>
        </w:rPr>
      </w:pPr>
      <w:r>
        <w:rPr>
          <w:lang w:val="zh-CN"/>
        </w:rPr>
        <mc:AlternateContent>
          <mc:Choice Requires="wps">
            <w:drawing>
              <wp:anchor distT="0" distB="0" distL="114300" distR="114300" simplePos="0" relativeHeight="251661312" behindDoc="0" locked="0" layoutInCell="1" allowOverlap="1">
                <wp:simplePos x="0" y="0"/>
                <wp:positionH relativeFrom="column">
                  <wp:posOffset>3009900</wp:posOffset>
                </wp:positionH>
                <wp:positionV relativeFrom="paragraph">
                  <wp:posOffset>198120</wp:posOffset>
                </wp:positionV>
                <wp:extent cx="2133600" cy="0"/>
                <wp:effectExtent l="0" t="9525" r="0" b="9525"/>
                <wp:wrapNone/>
                <wp:docPr id="4" name="直接连接符 4"/>
                <wp:cNvGraphicFramePr/>
                <a:graphic xmlns:a="http://schemas.openxmlformats.org/drawingml/2006/main">
                  <a:graphicData uri="http://schemas.microsoft.com/office/word/2010/wordprocessingShape">
                    <wps:wsp>
                      <wps:cNvCnPr/>
                      <wps:spPr>
                        <a:xfrm>
                          <a:off x="0" y="0"/>
                          <a:ext cx="213360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7pt;margin-top:15.6pt;height:0pt;width:168pt;z-index:251661312;mso-width-relative:page;mso-height-relative:page;" filled="f" stroked="t" coordsize="21600,21600" o:gfxdata="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zwtGd1gAAAAkBAAAPAAAAAAAAAAEAIAAAACIAAABkcnMvZG93bnJldi54bWxQSwEC&#10;FAAUAAAACACHTuJAzClQFvYBAADlAwAADgAAAAAAAAABACAAAAAlAQAAZHJzL2Uyb0RvYy54bWxQ&#10;SwUGAAAAAAYABgBZAQAAjQUAAAAA&#10;">
                <v:fill on="f" focussize="0,0"/>
                <v:stroke weight="1.5pt" color="#000000" joinstyle="round"/>
                <v:imagedata o:title=""/>
                <o:lock v:ext="edit" aspectratio="f"/>
              </v:line>
            </w:pict>
          </mc:Fallback>
        </mc:AlternateContent>
      </w:r>
      <w:r>
        <w:rPr>
          <w:lang w:val="zh-CN"/>
        </w:rPr>
        <mc:AlternateContent>
          <mc:Choice Requires="wps">
            <w:drawing>
              <wp:anchor distT="0" distB="0" distL="114300" distR="114300" simplePos="0" relativeHeight="251660288" behindDoc="0" locked="0" layoutInCell="0" allowOverlap="1">
                <wp:simplePos x="0" y="0"/>
                <wp:positionH relativeFrom="column">
                  <wp:posOffset>133350</wp:posOffset>
                </wp:positionH>
                <wp:positionV relativeFrom="paragraph">
                  <wp:posOffset>198120</wp:posOffset>
                </wp:positionV>
                <wp:extent cx="2066925" cy="0"/>
                <wp:effectExtent l="0" t="9525" r="9525" b="9525"/>
                <wp:wrapNone/>
                <wp:docPr id="6" name="直接连接符 6"/>
                <wp:cNvGraphicFramePr/>
                <a:graphic xmlns:a="http://schemas.openxmlformats.org/drawingml/2006/main">
                  <a:graphicData uri="http://schemas.microsoft.com/office/word/2010/wordprocessingShape">
                    <wps:wsp>
                      <wps:cNvCnPr/>
                      <wps:spPr>
                        <a:xfrm flipH="1">
                          <a:off x="0" y="0"/>
                          <a:ext cx="2066925"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0.5pt;margin-top:15.6pt;height:0pt;width:162.75pt;z-index:251660288;mso-width-relative:page;mso-height-relative:page;" filled="f" stroked="t" coordsize="21600,21600" o:allowincell="f" o:gfxdata="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YVgFjWAAAACAEAAA8AAAAAAAAAAQAgAAAAIgAAAGRycy9kb3ducmV2&#10;LnhtbFBLAQIUABQAAAAIAIdO4kDu7mGH/gEAAO8DAAAOAAAAAAAAAAEAIAAAACUBAABkcnMvZTJv&#10;RG9jLnhtbFBLBQYAAAAABgAGAFkBAACVBQAAAAA=&#10;">
                <v:fill on="f" focussize="0,0"/>
                <v:stroke weight="1.5pt" color="#000000" joinstyle="round"/>
                <v:imagedata o:title=""/>
                <o:lock v:ext="edit" aspectratio="f"/>
              </v:line>
            </w:pict>
          </mc:Fallback>
        </mc:AlternateContent>
      </w:r>
      <w:r>
        <w:rPr>
          <w:w w:val="80"/>
          <w:sz w:val="36"/>
        </w:rPr>
        <w:t xml:space="preserve">☆ </w:t>
      </w:r>
    </w:p>
    <w:p>
      <w:pPr>
        <w:pStyle w:val="2"/>
        <w:spacing w:before="0" w:after="0" w:line="360" w:lineRule="auto"/>
        <w:jc w:val="center"/>
        <w:rPr>
          <w:rFonts w:hint="eastAsia"/>
          <w:w w:val="80"/>
          <w:szCs w:val="36"/>
          <w:lang w:val="en-US" w:eastAsia="zh-CN"/>
        </w:rPr>
      </w:pPr>
      <w:r>
        <w:rPr>
          <w:rFonts w:hint="eastAsia"/>
          <w:w w:val="80"/>
          <w:szCs w:val="36"/>
          <w:lang w:eastAsia="zh-CN"/>
        </w:rPr>
        <w:t>江苏省剑丰农业实业有限公司</w:t>
      </w:r>
      <w:r>
        <w:rPr>
          <w:w w:val="80"/>
          <w:szCs w:val="36"/>
        </w:rPr>
        <w:t>拟</w:t>
      </w:r>
      <w:bookmarkStart w:id="14" w:name="_Toc11"/>
      <w:r>
        <w:rPr>
          <w:rFonts w:hint="eastAsia"/>
          <w:w w:val="80"/>
          <w:szCs w:val="36"/>
          <w:lang w:val="en-US" w:eastAsia="zh-CN"/>
        </w:rPr>
        <w:t>收购</w:t>
      </w:r>
    </w:p>
    <w:bookmarkEnd w:id="14"/>
    <w:p>
      <w:pPr>
        <w:pStyle w:val="2"/>
        <w:spacing w:before="0" w:after="0" w:line="360" w:lineRule="auto"/>
        <w:jc w:val="center"/>
        <w:rPr>
          <w:rFonts w:hint="eastAsia" w:eastAsia="宋体"/>
          <w:w w:val="80"/>
          <w:szCs w:val="36"/>
          <w:lang w:eastAsia="zh-CN"/>
        </w:rPr>
      </w:pPr>
      <w:r>
        <w:rPr>
          <w:rFonts w:hint="eastAsia"/>
          <w:w w:val="80"/>
          <w:szCs w:val="36"/>
          <w:lang w:eastAsia="zh-CN"/>
        </w:rPr>
        <w:t>盐城大丰天州机械制造有限公司所属房屋建筑物及土地使用权</w:t>
      </w:r>
    </w:p>
    <w:p>
      <w:pPr>
        <w:pStyle w:val="2"/>
        <w:spacing w:before="0" w:after="0" w:line="360" w:lineRule="auto"/>
        <w:jc w:val="center"/>
      </w:pPr>
      <w:bookmarkStart w:id="15" w:name="_Toc28750"/>
      <w:r>
        <w:t>资产评估报告正文</w:t>
      </w:r>
      <w:bookmarkEnd w:id="15"/>
    </w:p>
    <w:p/>
    <w:p>
      <w:pPr>
        <w:spacing w:line="360" w:lineRule="auto"/>
        <w:jc w:val="left"/>
        <w:rPr>
          <w:b/>
          <w:sz w:val="24"/>
        </w:rPr>
      </w:pPr>
      <w:r>
        <w:rPr>
          <w:rFonts w:hint="eastAsia"/>
          <w:b/>
          <w:sz w:val="24"/>
          <w:lang w:eastAsia="zh-CN"/>
        </w:rPr>
        <w:t>江苏省剑丰农业实业有限公司</w:t>
      </w:r>
      <w:r>
        <w:rPr>
          <w:b/>
          <w:sz w:val="24"/>
        </w:rPr>
        <w:t>：</w:t>
      </w:r>
    </w:p>
    <w:p>
      <w:pPr>
        <w:spacing w:line="500" w:lineRule="exact"/>
        <w:ind w:firstLine="480" w:firstLineChars="200"/>
        <w:jc w:val="left"/>
        <w:rPr>
          <w:sz w:val="24"/>
        </w:rPr>
      </w:pPr>
      <w:r>
        <w:rPr>
          <w:sz w:val="24"/>
        </w:rPr>
        <w:t>江苏三师土地房地产资产评估测绘咨询有限公司接受</w:t>
      </w:r>
      <w:r>
        <w:rPr>
          <w:rFonts w:hint="eastAsia"/>
          <w:sz w:val="24"/>
          <w:lang w:eastAsia="zh-CN"/>
        </w:rPr>
        <w:t>江苏省剑丰农业实业有限公司</w:t>
      </w:r>
      <w:r>
        <w:rPr>
          <w:sz w:val="24"/>
        </w:rPr>
        <w:t>（以下简</w:t>
      </w:r>
      <w:r>
        <w:rPr>
          <w:rFonts w:hint="eastAsia" w:ascii="宋体" w:hAnsi="宋体" w:eastAsia="宋体" w:cs="宋体"/>
          <w:sz w:val="24"/>
        </w:rPr>
        <w:t>称“</w:t>
      </w:r>
      <w:r>
        <w:rPr>
          <w:rFonts w:hint="eastAsia" w:ascii="宋体" w:hAnsi="宋体" w:eastAsia="宋体" w:cs="宋体"/>
          <w:sz w:val="24"/>
          <w:lang w:eastAsia="zh-CN"/>
        </w:rPr>
        <w:t>贵公司</w:t>
      </w:r>
      <w:r>
        <w:rPr>
          <w:rFonts w:hint="eastAsia" w:ascii="宋体" w:hAnsi="宋体" w:eastAsia="宋体" w:cs="宋体"/>
          <w:sz w:val="24"/>
        </w:rPr>
        <w:t>”</w:t>
      </w:r>
      <w:r>
        <w:rPr>
          <w:sz w:val="24"/>
        </w:rPr>
        <w:t>）委托，按照法律、行政法规和资产评估准则的规定，坚持独立、客观和公正的原则</w:t>
      </w:r>
      <w:r>
        <w:rPr>
          <w:sz w:val="24"/>
          <w:highlight w:val="none"/>
        </w:rPr>
        <w:t>，采用</w:t>
      </w:r>
      <w:r>
        <w:rPr>
          <w:rFonts w:hint="eastAsia"/>
          <w:sz w:val="24"/>
          <w:highlight w:val="none"/>
          <w:lang w:val="en-US" w:eastAsia="zh-CN"/>
        </w:rPr>
        <w:t>资产基础法及收益法</w:t>
      </w:r>
      <w:r>
        <w:rPr>
          <w:sz w:val="24"/>
          <w:highlight w:val="none"/>
        </w:rPr>
        <w:t>，</w:t>
      </w:r>
      <w:r>
        <w:rPr>
          <w:sz w:val="24"/>
        </w:rPr>
        <w:t>按照必要的评估程序，对</w:t>
      </w:r>
      <w:r>
        <w:rPr>
          <w:rFonts w:hint="eastAsia"/>
          <w:sz w:val="24"/>
          <w:lang w:eastAsia="zh-CN"/>
        </w:rPr>
        <w:t>贵公司</w:t>
      </w:r>
      <w:r>
        <w:rPr>
          <w:sz w:val="24"/>
        </w:rPr>
        <w:t>拟</w:t>
      </w:r>
      <w:r>
        <w:rPr>
          <w:rFonts w:hint="eastAsia"/>
          <w:sz w:val="24"/>
          <w:lang w:val="en-US" w:eastAsia="zh-CN"/>
        </w:rPr>
        <w:t>收购</w:t>
      </w:r>
      <w:r>
        <w:rPr>
          <w:rFonts w:hint="eastAsia"/>
          <w:sz w:val="24"/>
          <w:lang w:eastAsia="zh-CN"/>
        </w:rPr>
        <w:t>盐城大丰天州机械制造有限公司所属房屋建筑物及土地使用权</w:t>
      </w:r>
      <w:r>
        <w:rPr>
          <w:sz w:val="24"/>
        </w:rPr>
        <w:t>在</w:t>
      </w:r>
      <w:r>
        <w:rPr>
          <w:rFonts w:hint="default" w:ascii="Times New Roman" w:hAnsi="Times New Roman" w:cs="Times New Roman"/>
          <w:sz w:val="24"/>
          <w:lang w:eastAsia="zh-CN"/>
        </w:rPr>
        <w:t>2021年01月08</w:t>
      </w:r>
      <w:r>
        <w:rPr>
          <w:rFonts w:hint="eastAsia"/>
          <w:sz w:val="24"/>
          <w:lang w:eastAsia="zh-CN"/>
        </w:rPr>
        <w:t>日</w:t>
      </w:r>
      <w:r>
        <w:rPr>
          <w:sz w:val="24"/>
        </w:rPr>
        <w:t>的市场价值进行了评估。现将评估报告主要内容摘要如下。</w:t>
      </w:r>
    </w:p>
    <w:p>
      <w:pPr>
        <w:pStyle w:val="3"/>
        <w:spacing w:before="0" w:after="0" w:line="500" w:lineRule="exact"/>
        <w:ind w:firstLine="482" w:firstLineChars="200"/>
        <w:rPr>
          <w:rFonts w:ascii="Times New Roman" w:hAnsi="Times New Roman"/>
        </w:rPr>
      </w:pPr>
      <w:bookmarkStart w:id="16" w:name="_Toc20800"/>
      <w:r>
        <w:rPr>
          <w:rFonts w:ascii="Times New Roman" w:hAnsi="Times New Roman"/>
        </w:rPr>
        <w:t>一、委托人、被评估单位和资产评估委托合同约定的其他资产评估报告使用人概况</w:t>
      </w:r>
      <w:bookmarkEnd w:id="16"/>
    </w:p>
    <w:p>
      <w:pPr>
        <w:adjustRightInd w:val="0"/>
        <w:spacing w:line="500" w:lineRule="exact"/>
        <w:ind w:firstLine="480" w:firstLineChars="200"/>
        <w:rPr>
          <w:sz w:val="24"/>
        </w:rPr>
      </w:pPr>
      <w:r>
        <w:rPr>
          <w:sz w:val="24"/>
        </w:rPr>
        <w:t>（一）委托人概况</w:t>
      </w:r>
    </w:p>
    <w:p>
      <w:pPr>
        <w:spacing w:line="360" w:lineRule="auto"/>
        <w:ind w:firstLine="561"/>
        <w:jc w:val="left"/>
        <w:rPr>
          <w:sz w:val="24"/>
        </w:rPr>
      </w:pPr>
      <w:r>
        <w:rPr>
          <w:sz w:val="24"/>
        </w:rPr>
        <w:t>本资产评估项目委托人为</w:t>
      </w:r>
      <w:r>
        <w:rPr>
          <w:rFonts w:hint="eastAsia"/>
          <w:sz w:val="24"/>
          <w:lang w:eastAsia="zh-CN"/>
        </w:rPr>
        <w:t>江苏省剑丰农业实业有限公司</w:t>
      </w:r>
      <w:r>
        <w:rPr>
          <w:rFonts w:hint="eastAsia"/>
          <w:sz w:val="24"/>
        </w:rPr>
        <w:t>，其基本概况如下：</w:t>
      </w:r>
    </w:p>
    <w:p>
      <w:pPr>
        <w:spacing w:line="360" w:lineRule="auto"/>
        <w:ind w:firstLine="561"/>
        <w:jc w:val="left"/>
        <w:rPr>
          <w:rFonts w:hint="eastAsia"/>
          <w:sz w:val="24"/>
        </w:rPr>
      </w:pPr>
      <w:r>
        <w:rPr>
          <w:rFonts w:hint="eastAsia"/>
          <w:sz w:val="24"/>
        </w:rPr>
        <w:t>名    称：江苏省剑丰农业实业有限公司；</w:t>
      </w:r>
    </w:p>
    <w:p>
      <w:pPr>
        <w:spacing w:line="360" w:lineRule="auto"/>
        <w:ind w:firstLine="561"/>
        <w:jc w:val="left"/>
        <w:rPr>
          <w:rFonts w:hint="eastAsia"/>
          <w:sz w:val="24"/>
        </w:rPr>
      </w:pPr>
      <w:r>
        <w:rPr>
          <w:rFonts w:hint="eastAsia"/>
          <w:sz w:val="24"/>
        </w:rPr>
        <w:t>类    型：有限责任公司(法人独资)；</w:t>
      </w:r>
    </w:p>
    <w:p>
      <w:pPr>
        <w:spacing w:line="360" w:lineRule="auto"/>
        <w:ind w:firstLine="561"/>
        <w:jc w:val="left"/>
        <w:rPr>
          <w:rFonts w:hint="default" w:ascii="Times New Roman" w:hAnsi="Times New Roman" w:cs="Times New Roman"/>
          <w:sz w:val="24"/>
        </w:rPr>
      </w:pPr>
      <w:r>
        <w:rPr>
          <w:rFonts w:hint="eastAsia"/>
          <w:sz w:val="24"/>
        </w:rPr>
        <w:t>住    所</w:t>
      </w:r>
      <w:r>
        <w:rPr>
          <w:rFonts w:hint="default" w:ascii="Times New Roman" w:hAnsi="Times New Roman" w:cs="Times New Roman"/>
          <w:sz w:val="24"/>
        </w:rPr>
        <w:t>：盐城市大丰区川东闸南首1200米；</w:t>
      </w:r>
    </w:p>
    <w:p>
      <w:pPr>
        <w:spacing w:line="360" w:lineRule="auto"/>
        <w:ind w:firstLine="561"/>
        <w:jc w:val="left"/>
        <w:rPr>
          <w:rFonts w:hint="default" w:ascii="Times New Roman" w:hAnsi="Times New Roman" w:cs="Times New Roman"/>
          <w:sz w:val="24"/>
        </w:rPr>
      </w:pPr>
      <w:r>
        <w:rPr>
          <w:rFonts w:hint="default" w:ascii="Times New Roman" w:hAnsi="Times New Roman" w:cs="Times New Roman"/>
          <w:sz w:val="24"/>
        </w:rPr>
        <w:t>法定代表人：</w:t>
      </w:r>
      <w:r>
        <w:rPr>
          <w:rFonts w:hint="default" w:ascii="Times New Roman" w:hAnsi="Times New Roman" w:cs="Times New Roman"/>
          <w:sz w:val="24"/>
          <w:lang w:val="en-US" w:eastAsia="zh-CN"/>
        </w:rPr>
        <w:t>周宏奎</w:t>
      </w:r>
      <w:r>
        <w:rPr>
          <w:rFonts w:hint="default" w:ascii="Times New Roman" w:hAnsi="Times New Roman" w:cs="Times New Roman"/>
          <w:sz w:val="24"/>
        </w:rPr>
        <w:t>；</w:t>
      </w:r>
    </w:p>
    <w:p>
      <w:pPr>
        <w:spacing w:line="360" w:lineRule="auto"/>
        <w:ind w:firstLine="561"/>
        <w:jc w:val="left"/>
        <w:rPr>
          <w:rFonts w:hint="default" w:ascii="Times New Roman" w:hAnsi="Times New Roman" w:cs="Times New Roman"/>
          <w:sz w:val="24"/>
        </w:rPr>
      </w:pPr>
      <w:r>
        <w:rPr>
          <w:rFonts w:hint="default" w:ascii="Times New Roman" w:hAnsi="Times New Roman" w:cs="Times New Roman"/>
          <w:sz w:val="24"/>
        </w:rPr>
        <w:t>注册资本：</w:t>
      </w:r>
      <w:r>
        <w:rPr>
          <w:rFonts w:hint="default" w:ascii="Times New Roman" w:hAnsi="Times New Roman" w:cs="Times New Roman"/>
          <w:sz w:val="24"/>
          <w:lang w:val="en-US" w:eastAsia="zh-CN"/>
        </w:rPr>
        <w:t>500万元整</w:t>
      </w:r>
      <w:r>
        <w:rPr>
          <w:rFonts w:hint="default" w:ascii="Times New Roman" w:hAnsi="Times New Roman" w:cs="Times New Roman"/>
          <w:sz w:val="24"/>
        </w:rPr>
        <w:t>；</w:t>
      </w:r>
    </w:p>
    <w:p>
      <w:pPr>
        <w:spacing w:line="360" w:lineRule="auto"/>
        <w:ind w:firstLine="561"/>
        <w:jc w:val="left"/>
        <w:rPr>
          <w:rFonts w:hint="default" w:ascii="Times New Roman" w:hAnsi="Times New Roman" w:cs="Times New Roman"/>
          <w:sz w:val="24"/>
        </w:rPr>
      </w:pPr>
      <w:r>
        <w:rPr>
          <w:rFonts w:hint="default" w:ascii="Times New Roman" w:hAnsi="Times New Roman" w:cs="Times New Roman"/>
          <w:sz w:val="24"/>
        </w:rPr>
        <w:t>成立日期：20</w:t>
      </w:r>
      <w:r>
        <w:rPr>
          <w:rFonts w:hint="default" w:ascii="Times New Roman" w:hAnsi="Times New Roman" w:cs="Times New Roman"/>
          <w:sz w:val="24"/>
          <w:lang w:val="en-US" w:eastAsia="zh-CN"/>
        </w:rPr>
        <w:t>1</w:t>
      </w:r>
      <w:r>
        <w:rPr>
          <w:rFonts w:hint="default" w:ascii="Times New Roman" w:hAnsi="Times New Roman" w:cs="Times New Roman"/>
          <w:sz w:val="24"/>
        </w:rPr>
        <w:t>0年08月</w:t>
      </w:r>
      <w:r>
        <w:rPr>
          <w:rFonts w:hint="default" w:ascii="Times New Roman" w:hAnsi="Times New Roman" w:cs="Times New Roman"/>
          <w:sz w:val="24"/>
          <w:lang w:val="en-US" w:eastAsia="zh-CN"/>
        </w:rPr>
        <w:t>03</w:t>
      </w:r>
      <w:r>
        <w:rPr>
          <w:rFonts w:hint="default" w:ascii="Times New Roman" w:hAnsi="Times New Roman" w:cs="Times New Roman"/>
          <w:sz w:val="24"/>
        </w:rPr>
        <w:t>日；</w:t>
      </w:r>
    </w:p>
    <w:p>
      <w:pPr>
        <w:spacing w:line="360" w:lineRule="auto"/>
        <w:ind w:firstLine="561"/>
        <w:jc w:val="left"/>
        <w:rPr>
          <w:rFonts w:hint="eastAsia"/>
          <w:sz w:val="24"/>
        </w:rPr>
      </w:pPr>
      <w:r>
        <w:rPr>
          <w:rFonts w:hint="default" w:ascii="Times New Roman" w:hAnsi="Times New Roman" w:cs="Times New Roman"/>
          <w:sz w:val="24"/>
        </w:rPr>
        <w:t>营业期限：20</w:t>
      </w:r>
      <w:r>
        <w:rPr>
          <w:rFonts w:hint="default" w:ascii="Times New Roman" w:hAnsi="Times New Roman" w:cs="Times New Roman"/>
          <w:sz w:val="24"/>
          <w:lang w:val="en-US" w:eastAsia="zh-CN"/>
        </w:rPr>
        <w:t>1</w:t>
      </w:r>
      <w:r>
        <w:rPr>
          <w:rFonts w:hint="default" w:ascii="Times New Roman" w:hAnsi="Times New Roman" w:cs="Times New Roman"/>
          <w:sz w:val="24"/>
        </w:rPr>
        <w:t>0年08月</w:t>
      </w:r>
      <w:r>
        <w:rPr>
          <w:rFonts w:hint="default" w:ascii="Times New Roman" w:hAnsi="Times New Roman" w:cs="Times New Roman"/>
          <w:sz w:val="24"/>
          <w:lang w:val="en-US" w:eastAsia="zh-CN"/>
        </w:rPr>
        <w:t>03</w:t>
      </w:r>
      <w:r>
        <w:rPr>
          <w:rFonts w:hint="default" w:ascii="Times New Roman" w:hAnsi="Times New Roman" w:cs="Times New Roman"/>
          <w:sz w:val="24"/>
        </w:rPr>
        <w:t>日至</w:t>
      </w:r>
      <w:r>
        <w:rPr>
          <w:rFonts w:hint="default" w:ascii="Times New Roman" w:hAnsi="Times New Roman" w:cs="Times New Roman"/>
          <w:sz w:val="24"/>
          <w:lang w:val="en-US" w:eastAsia="zh-CN"/>
        </w:rPr>
        <w:t>2030年08月02日</w:t>
      </w:r>
      <w:r>
        <w:rPr>
          <w:rFonts w:hint="eastAsia"/>
          <w:sz w:val="24"/>
        </w:rPr>
        <w:t>；</w:t>
      </w:r>
    </w:p>
    <w:p>
      <w:pPr>
        <w:spacing w:line="360" w:lineRule="auto"/>
        <w:ind w:firstLine="561"/>
        <w:jc w:val="left"/>
        <w:rPr>
          <w:rFonts w:hint="eastAsia"/>
          <w:sz w:val="24"/>
        </w:rPr>
      </w:pPr>
      <w:r>
        <w:rPr>
          <w:rFonts w:hint="eastAsia"/>
          <w:sz w:val="24"/>
        </w:rPr>
        <w:t>经营范围：农作物种植；水产品养殖；农产品（除粮食、鲜茧）、水产品收购；农产品（除非包装种子）、鲜活水产品、电线电缆、化工产品（除危险品）、棉纺织品、机械设备、饲料、不再分装的包装种子销售；化肥零售；信息咨询、科技咨询服务。（依法须经批准的项目，经相关部门批准后方可开展经营活动）；</w:t>
      </w:r>
    </w:p>
    <w:p>
      <w:pPr>
        <w:spacing w:line="360" w:lineRule="auto"/>
        <w:ind w:firstLine="561"/>
        <w:jc w:val="left"/>
        <w:rPr>
          <w:rFonts w:hint="eastAsia"/>
          <w:sz w:val="24"/>
        </w:rPr>
      </w:pPr>
      <w:r>
        <w:rPr>
          <w:rFonts w:hint="eastAsia"/>
          <w:sz w:val="24"/>
        </w:rPr>
        <w:t>统一社会信用代码</w:t>
      </w:r>
      <w:r>
        <w:rPr>
          <w:rFonts w:hint="default" w:ascii="Times New Roman" w:hAnsi="Times New Roman" w:cs="Times New Roman"/>
          <w:sz w:val="24"/>
        </w:rPr>
        <w:t>：913209825593377475</w:t>
      </w:r>
      <w:r>
        <w:rPr>
          <w:rFonts w:hint="eastAsia"/>
          <w:sz w:val="24"/>
        </w:rPr>
        <w:t>。</w:t>
      </w:r>
    </w:p>
    <w:p>
      <w:pPr>
        <w:spacing w:line="360" w:lineRule="auto"/>
        <w:ind w:firstLine="561"/>
        <w:jc w:val="left"/>
        <w:rPr>
          <w:bCs/>
          <w:sz w:val="24"/>
        </w:rPr>
      </w:pPr>
      <w:r>
        <w:rPr>
          <w:bCs/>
          <w:sz w:val="24"/>
        </w:rPr>
        <w:t>（二）</w:t>
      </w:r>
      <w:r>
        <w:rPr>
          <w:sz w:val="24"/>
        </w:rPr>
        <w:t>被评估单位（产权持有者）</w:t>
      </w:r>
      <w:r>
        <w:rPr>
          <w:bCs/>
          <w:sz w:val="24"/>
        </w:rPr>
        <w:t>概况</w:t>
      </w:r>
    </w:p>
    <w:p>
      <w:pPr>
        <w:adjustRightInd w:val="0"/>
        <w:spacing w:line="500" w:lineRule="exact"/>
        <w:ind w:firstLine="480" w:firstLineChars="200"/>
        <w:rPr>
          <w:rFonts w:hint="eastAsia"/>
          <w:sz w:val="24"/>
        </w:rPr>
      </w:pPr>
      <w:r>
        <w:rPr>
          <w:sz w:val="24"/>
        </w:rPr>
        <w:t>本资产评估项目产权持有者为</w:t>
      </w:r>
      <w:r>
        <w:rPr>
          <w:rFonts w:hint="eastAsia"/>
          <w:sz w:val="24"/>
          <w:lang w:eastAsia="zh-CN"/>
        </w:rPr>
        <w:t>盐城大丰天州机械制造有限公司</w:t>
      </w:r>
      <w:r>
        <w:rPr>
          <w:rFonts w:hint="eastAsia"/>
          <w:sz w:val="24"/>
        </w:rPr>
        <w:t>其基本概况如下：</w:t>
      </w:r>
    </w:p>
    <w:p>
      <w:pPr>
        <w:adjustRightInd w:val="0"/>
        <w:spacing w:line="500" w:lineRule="exact"/>
        <w:ind w:firstLine="480" w:firstLineChars="200"/>
        <w:rPr>
          <w:rFonts w:hint="eastAsia"/>
          <w:sz w:val="24"/>
        </w:rPr>
      </w:pPr>
      <w:r>
        <w:rPr>
          <w:rFonts w:hint="eastAsia"/>
          <w:sz w:val="24"/>
        </w:rPr>
        <w:t>名    称：</w:t>
      </w:r>
      <w:r>
        <w:rPr>
          <w:rFonts w:hint="eastAsia"/>
          <w:sz w:val="24"/>
          <w:lang w:eastAsia="zh-CN"/>
        </w:rPr>
        <w:t>盐城大丰天州机械制造有限公司</w:t>
      </w:r>
      <w:r>
        <w:rPr>
          <w:rFonts w:hint="eastAsia"/>
          <w:sz w:val="24"/>
        </w:rPr>
        <w:t>；</w:t>
      </w:r>
    </w:p>
    <w:p>
      <w:pPr>
        <w:adjustRightInd w:val="0"/>
        <w:spacing w:line="500" w:lineRule="exact"/>
        <w:ind w:firstLine="480" w:firstLineChars="200"/>
        <w:rPr>
          <w:rFonts w:hint="eastAsia"/>
          <w:sz w:val="24"/>
        </w:rPr>
      </w:pPr>
      <w:r>
        <w:rPr>
          <w:rFonts w:hint="eastAsia"/>
          <w:sz w:val="24"/>
        </w:rPr>
        <w:t>类    型：有限责任公司；</w:t>
      </w:r>
    </w:p>
    <w:p>
      <w:pPr>
        <w:adjustRightInd w:val="0"/>
        <w:spacing w:line="500" w:lineRule="exact"/>
        <w:ind w:firstLine="480" w:firstLineChars="200"/>
        <w:rPr>
          <w:rFonts w:hint="default" w:ascii="Times New Roman" w:hAnsi="Times New Roman" w:cs="Times New Roman"/>
          <w:sz w:val="24"/>
        </w:rPr>
      </w:pPr>
      <w:r>
        <w:rPr>
          <w:rFonts w:hint="eastAsia"/>
          <w:sz w:val="24"/>
        </w:rPr>
        <w:t>住    所：盐</w:t>
      </w:r>
      <w:r>
        <w:rPr>
          <w:rFonts w:hint="default" w:ascii="Times New Roman" w:hAnsi="Times New Roman" w:cs="Times New Roman"/>
          <w:sz w:val="24"/>
        </w:rPr>
        <w:t>城市大丰区草庙镇幸福路1号；</w:t>
      </w:r>
    </w:p>
    <w:p>
      <w:pPr>
        <w:adjustRightIn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法定代表人：</w:t>
      </w:r>
      <w:r>
        <w:rPr>
          <w:rFonts w:hint="default" w:ascii="Times New Roman" w:hAnsi="Times New Roman" w:cs="Times New Roman"/>
          <w:sz w:val="24"/>
          <w:lang w:val="en-US" w:eastAsia="zh-CN"/>
        </w:rPr>
        <w:t>黄翠珠</w:t>
      </w:r>
      <w:r>
        <w:rPr>
          <w:rFonts w:hint="default" w:ascii="Times New Roman" w:hAnsi="Times New Roman" w:cs="Times New Roman"/>
          <w:sz w:val="24"/>
        </w:rPr>
        <w:t>；</w:t>
      </w:r>
    </w:p>
    <w:p>
      <w:pPr>
        <w:adjustRightIn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注册资本：500万元整；</w:t>
      </w:r>
    </w:p>
    <w:p>
      <w:pPr>
        <w:adjustRightInd w:val="0"/>
        <w:spacing w:line="500" w:lineRule="exact"/>
        <w:ind w:firstLine="480" w:firstLineChars="200"/>
        <w:rPr>
          <w:rFonts w:hint="default" w:ascii="Times New Roman" w:hAnsi="Times New Roman" w:cs="Times New Roman"/>
          <w:sz w:val="24"/>
        </w:rPr>
      </w:pPr>
      <w:r>
        <w:rPr>
          <w:rFonts w:hint="default" w:ascii="Times New Roman" w:hAnsi="Times New Roman" w:cs="Times New Roman"/>
          <w:sz w:val="24"/>
        </w:rPr>
        <w:t>成立日期：201</w:t>
      </w:r>
      <w:r>
        <w:rPr>
          <w:rFonts w:hint="default" w:ascii="Times New Roman" w:hAnsi="Times New Roman" w:cs="Times New Roman"/>
          <w:sz w:val="24"/>
          <w:lang w:val="en-US" w:eastAsia="zh-CN"/>
        </w:rPr>
        <w:t>6</w:t>
      </w:r>
      <w:r>
        <w:rPr>
          <w:rFonts w:hint="default" w:ascii="Times New Roman" w:hAnsi="Times New Roman" w:cs="Times New Roman"/>
          <w:sz w:val="24"/>
        </w:rPr>
        <w:t>年</w:t>
      </w:r>
      <w:r>
        <w:rPr>
          <w:rFonts w:hint="default" w:ascii="Times New Roman" w:hAnsi="Times New Roman" w:cs="Times New Roman"/>
          <w:sz w:val="24"/>
          <w:lang w:val="en-US" w:eastAsia="zh-CN"/>
        </w:rPr>
        <w:t>10</w:t>
      </w:r>
      <w:r>
        <w:rPr>
          <w:rFonts w:hint="default" w:ascii="Times New Roman" w:hAnsi="Times New Roman" w:cs="Times New Roman"/>
          <w:sz w:val="24"/>
        </w:rPr>
        <w:t>月</w:t>
      </w:r>
      <w:r>
        <w:rPr>
          <w:rFonts w:hint="default" w:ascii="Times New Roman" w:hAnsi="Times New Roman" w:cs="Times New Roman"/>
          <w:sz w:val="24"/>
          <w:lang w:val="en-US" w:eastAsia="zh-CN"/>
        </w:rPr>
        <w:t>14</w:t>
      </w:r>
      <w:r>
        <w:rPr>
          <w:rFonts w:hint="default" w:ascii="Times New Roman" w:hAnsi="Times New Roman" w:cs="Times New Roman"/>
          <w:sz w:val="24"/>
        </w:rPr>
        <w:t>日；</w:t>
      </w:r>
    </w:p>
    <w:p>
      <w:pPr>
        <w:adjustRightInd w:val="0"/>
        <w:spacing w:line="500" w:lineRule="exact"/>
        <w:ind w:firstLine="480" w:firstLineChars="200"/>
        <w:rPr>
          <w:rFonts w:hint="eastAsia"/>
          <w:sz w:val="24"/>
        </w:rPr>
      </w:pPr>
      <w:r>
        <w:rPr>
          <w:rFonts w:hint="default" w:ascii="Times New Roman" w:hAnsi="Times New Roman" w:cs="Times New Roman"/>
          <w:sz w:val="24"/>
        </w:rPr>
        <w:t>营业期限：201</w:t>
      </w:r>
      <w:r>
        <w:rPr>
          <w:rFonts w:hint="default" w:ascii="Times New Roman" w:hAnsi="Times New Roman" w:cs="Times New Roman"/>
          <w:sz w:val="24"/>
          <w:lang w:val="en-US" w:eastAsia="zh-CN"/>
        </w:rPr>
        <w:t>6</w:t>
      </w:r>
      <w:r>
        <w:rPr>
          <w:rFonts w:hint="default" w:ascii="Times New Roman" w:hAnsi="Times New Roman" w:cs="Times New Roman"/>
          <w:sz w:val="24"/>
        </w:rPr>
        <w:t>年</w:t>
      </w:r>
      <w:r>
        <w:rPr>
          <w:rFonts w:hint="default" w:ascii="Times New Roman" w:hAnsi="Times New Roman" w:cs="Times New Roman"/>
          <w:sz w:val="24"/>
          <w:lang w:val="en-US" w:eastAsia="zh-CN"/>
        </w:rPr>
        <w:t>10</w:t>
      </w:r>
      <w:r>
        <w:rPr>
          <w:rFonts w:hint="default" w:ascii="Times New Roman" w:hAnsi="Times New Roman" w:cs="Times New Roman"/>
          <w:sz w:val="24"/>
        </w:rPr>
        <w:t>月</w:t>
      </w:r>
      <w:r>
        <w:rPr>
          <w:rFonts w:hint="default" w:ascii="Times New Roman" w:hAnsi="Times New Roman" w:cs="Times New Roman"/>
          <w:sz w:val="24"/>
          <w:lang w:val="en-US" w:eastAsia="zh-CN"/>
        </w:rPr>
        <w:t>14</w:t>
      </w:r>
      <w:r>
        <w:rPr>
          <w:rFonts w:hint="default" w:ascii="Times New Roman" w:hAnsi="Times New Roman" w:cs="Times New Roman"/>
          <w:sz w:val="24"/>
        </w:rPr>
        <w:t>日至</w:t>
      </w:r>
      <w:r>
        <w:rPr>
          <w:rFonts w:hint="default" w:ascii="Times New Roman" w:hAnsi="Times New Roman" w:cs="Times New Roman"/>
          <w:sz w:val="24"/>
          <w:lang w:val="en-US" w:eastAsia="zh-CN"/>
        </w:rPr>
        <w:t>无</w:t>
      </w:r>
      <w:r>
        <w:rPr>
          <w:rFonts w:hint="eastAsia"/>
          <w:sz w:val="24"/>
          <w:lang w:val="en-US" w:eastAsia="zh-CN"/>
        </w:rPr>
        <w:t>固定期限</w:t>
      </w:r>
      <w:r>
        <w:rPr>
          <w:rFonts w:hint="eastAsia"/>
          <w:sz w:val="24"/>
        </w:rPr>
        <w:t>；</w:t>
      </w:r>
    </w:p>
    <w:p>
      <w:pPr>
        <w:adjustRightInd w:val="0"/>
        <w:spacing w:line="500" w:lineRule="exact"/>
        <w:ind w:firstLine="480" w:firstLineChars="200"/>
        <w:rPr>
          <w:rFonts w:hint="eastAsia"/>
          <w:sz w:val="24"/>
        </w:rPr>
      </w:pPr>
      <w:r>
        <w:rPr>
          <w:rFonts w:hint="eastAsia"/>
          <w:sz w:val="24"/>
        </w:rPr>
        <w:t>经营范围：水泥专用设备制造、安装；风力发电设备研发、制造；风力发电工程设计、施工及技术咨询。（依法须经批准的项目，经相关部门批准后方可开展经营活动）；</w:t>
      </w:r>
    </w:p>
    <w:p>
      <w:pPr>
        <w:adjustRightInd w:val="0"/>
        <w:spacing w:line="500" w:lineRule="exact"/>
        <w:ind w:firstLine="480" w:firstLineChars="200"/>
        <w:rPr>
          <w:sz w:val="24"/>
        </w:rPr>
      </w:pPr>
      <w:r>
        <w:rPr>
          <w:rFonts w:hint="eastAsia"/>
          <w:sz w:val="24"/>
        </w:rPr>
        <w:t>统一社会信用代码：</w:t>
      </w:r>
      <w:r>
        <w:rPr>
          <w:rFonts w:hint="default" w:ascii="Times New Roman" w:hAnsi="Times New Roman" w:cs="Times New Roman"/>
          <w:sz w:val="24"/>
        </w:rPr>
        <w:t>91320982MA1MX75773</w:t>
      </w:r>
      <w:r>
        <w:rPr>
          <w:rFonts w:hint="eastAsia"/>
          <w:sz w:val="24"/>
        </w:rPr>
        <w:t>。</w:t>
      </w:r>
    </w:p>
    <w:p>
      <w:pPr>
        <w:tabs>
          <w:tab w:val="left" w:pos="3045"/>
        </w:tabs>
        <w:spacing w:line="500" w:lineRule="exact"/>
        <w:ind w:firstLine="480" w:firstLineChars="200"/>
        <w:rPr>
          <w:sz w:val="24"/>
        </w:rPr>
      </w:pPr>
      <w:r>
        <w:rPr>
          <w:sz w:val="24"/>
        </w:rPr>
        <w:t>（三）资产评估委托合同约定的其他资产评估报告使用人</w:t>
      </w:r>
    </w:p>
    <w:p>
      <w:pPr>
        <w:tabs>
          <w:tab w:val="left" w:pos="6405"/>
        </w:tabs>
        <w:spacing w:line="500" w:lineRule="exact"/>
        <w:ind w:firstLine="480" w:firstLineChars="200"/>
        <w:rPr>
          <w:sz w:val="24"/>
        </w:rPr>
      </w:pPr>
      <w:r>
        <w:rPr>
          <w:sz w:val="24"/>
        </w:rPr>
        <w:t>本评估报告的使用者仅限委托人使用。除国家法律、法规另有规定外，任何未经评估机构和委托人确认的机构或个人不能由于得到评估报告而成为评估报告使用者。本评估结论仅供委托人为实现评估目的使用。评估报告书的使用权归委托人所有，未经委托人许可，评估机构不随意向他人提供或公开。</w:t>
      </w:r>
    </w:p>
    <w:p>
      <w:pPr>
        <w:pStyle w:val="3"/>
        <w:spacing w:line="500" w:lineRule="exact"/>
        <w:ind w:firstLine="472" w:firstLineChars="196"/>
        <w:rPr>
          <w:rFonts w:ascii="Times New Roman" w:hAnsi="Times New Roman"/>
        </w:rPr>
      </w:pPr>
      <w:bookmarkStart w:id="17" w:name="_Toc29096"/>
      <w:r>
        <w:rPr>
          <w:rFonts w:ascii="Times New Roman" w:hAnsi="Times New Roman"/>
        </w:rPr>
        <w:t>二、评估目的</w:t>
      </w:r>
      <w:bookmarkEnd w:id="17"/>
    </w:p>
    <w:p>
      <w:pPr>
        <w:tabs>
          <w:tab w:val="left" w:pos="6405"/>
        </w:tabs>
        <w:spacing w:line="500" w:lineRule="exact"/>
        <w:ind w:firstLine="470" w:firstLineChars="196"/>
        <w:rPr>
          <w:sz w:val="24"/>
        </w:rPr>
      </w:pPr>
      <w:r>
        <w:rPr>
          <w:sz w:val="24"/>
        </w:rPr>
        <w:t>确定委估资产于评估基准日的市场价值，拟为</w:t>
      </w:r>
      <w:r>
        <w:rPr>
          <w:rFonts w:hint="eastAsia"/>
          <w:sz w:val="24"/>
          <w:lang w:eastAsia="zh-CN"/>
        </w:rPr>
        <w:t>江苏省剑丰农业实业有限公司</w:t>
      </w:r>
      <w:r>
        <w:rPr>
          <w:rFonts w:hint="eastAsia"/>
          <w:sz w:val="24"/>
          <w:lang w:val="en-US" w:eastAsia="zh-CN"/>
        </w:rPr>
        <w:t>资产收购这一经济行为提供价值参考依据</w:t>
      </w:r>
      <w:r>
        <w:rPr>
          <w:sz w:val="24"/>
        </w:rPr>
        <w:t>。</w:t>
      </w:r>
    </w:p>
    <w:p>
      <w:pPr>
        <w:spacing w:line="500" w:lineRule="exact"/>
        <w:ind w:firstLine="480" w:firstLineChars="200"/>
        <w:jc w:val="left"/>
        <w:rPr>
          <w:b w:val="0"/>
          <w:bCs w:val="0"/>
          <w:sz w:val="24"/>
          <w:highlight w:val="none"/>
        </w:rPr>
      </w:pPr>
      <w:r>
        <w:rPr>
          <w:b w:val="0"/>
          <w:bCs w:val="0"/>
          <w:sz w:val="24"/>
        </w:rPr>
        <w:t>经济行为依据</w:t>
      </w:r>
      <w:r>
        <w:rPr>
          <w:b w:val="0"/>
          <w:bCs w:val="0"/>
          <w:sz w:val="24"/>
          <w:highlight w:val="none"/>
        </w:rPr>
        <w:t>是</w:t>
      </w:r>
      <w:r>
        <w:rPr>
          <w:rFonts w:hint="eastAsia"/>
          <w:b w:val="0"/>
          <w:bCs w:val="0"/>
          <w:sz w:val="24"/>
          <w:highlight w:val="none"/>
          <w:lang w:val="en-US" w:eastAsia="zh-CN"/>
        </w:rPr>
        <w:t>江苏省剑丰农业实业有限公司</w:t>
      </w:r>
      <w:r>
        <w:rPr>
          <w:rFonts w:hint="default" w:ascii="Times New Roman" w:hAnsi="Times New Roman" w:cs="Times New Roman"/>
          <w:b w:val="0"/>
          <w:bCs w:val="0"/>
          <w:sz w:val="24"/>
          <w:highlight w:val="none"/>
          <w:lang w:val="en-US" w:eastAsia="zh-CN"/>
        </w:rPr>
        <w:t>2021</w:t>
      </w:r>
      <w:r>
        <w:rPr>
          <w:rFonts w:hint="eastAsia"/>
          <w:b w:val="0"/>
          <w:bCs w:val="0"/>
          <w:sz w:val="24"/>
          <w:highlight w:val="none"/>
          <w:lang w:val="en-US" w:eastAsia="zh-CN"/>
        </w:rPr>
        <w:t>年专题会议纪要及</w:t>
      </w:r>
      <w:r>
        <w:rPr>
          <w:b w:val="0"/>
          <w:bCs w:val="0"/>
          <w:sz w:val="24"/>
          <w:highlight w:val="none"/>
        </w:rPr>
        <w:t>委托人</w:t>
      </w:r>
      <w:r>
        <w:rPr>
          <w:rFonts w:hint="eastAsia"/>
          <w:b w:val="0"/>
          <w:bCs w:val="0"/>
          <w:sz w:val="24"/>
          <w:highlight w:val="none"/>
          <w:lang w:val="en-US" w:eastAsia="zh-CN"/>
        </w:rPr>
        <w:t>与本公司签订的《资产评估委托合同书》。</w:t>
      </w:r>
    </w:p>
    <w:p>
      <w:pPr>
        <w:pStyle w:val="3"/>
        <w:spacing w:line="500" w:lineRule="exact"/>
        <w:ind w:firstLine="472" w:firstLineChars="196"/>
        <w:rPr>
          <w:rFonts w:ascii="Times New Roman" w:hAnsi="Times New Roman"/>
        </w:rPr>
      </w:pPr>
      <w:bookmarkStart w:id="18" w:name="_Toc32102"/>
      <w:r>
        <w:rPr>
          <w:rFonts w:ascii="Times New Roman" w:hAnsi="Times New Roman"/>
        </w:rPr>
        <w:t>三、评估对象和评估范围</w:t>
      </w:r>
      <w:bookmarkEnd w:id="18"/>
    </w:p>
    <w:p>
      <w:pPr>
        <w:spacing w:line="500" w:lineRule="exact"/>
        <w:ind w:firstLine="480" w:firstLineChars="200"/>
        <w:jc w:val="left"/>
        <w:rPr>
          <w:sz w:val="24"/>
        </w:rPr>
      </w:pPr>
      <w:r>
        <w:rPr>
          <w:sz w:val="24"/>
        </w:rPr>
        <w:t>（一）本次评估对</w:t>
      </w:r>
      <w:r>
        <w:rPr>
          <w:sz w:val="24"/>
          <w:highlight w:val="none"/>
        </w:rPr>
        <w:t>象为</w:t>
      </w:r>
      <w:r>
        <w:rPr>
          <w:rFonts w:hint="eastAsia"/>
          <w:sz w:val="24"/>
          <w:highlight w:val="none"/>
          <w:lang w:val="en-US" w:eastAsia="zh-CN"/>
        </w:rPr>
        <w:t>委托人</w:t>
      </w:r>
      <w:r>
        <w:rPr>
          <w:sz w:val="24"/>
          <w:highlight w:val="none"/>
        </w:rPr>
        <w:t>申报</w:t>
      </w:r>
      <w:r>
        <w:rPr>
          <w:rFonts w:hint="eastAsia"/>
          <w:sz w:val="24"/>
          <w:lang w:eastAsia="zh-CN"/>
        </w:rPr>
        <w:t>的盐城大丰天州机械制造有限公司所属房屋建筑物及土地使用权</w:t>
      </w:r>
      <w:r>
        <w:rPr>
          <w:sz w:val="24"/>
        </w:rPr>
        <w:t>。</w:t>
      </w:r>
    </w:p>
    <w:p>
      <w:pPr>
        <w:spacing w:line="500" w:lineRule="exact"/>
        <w:ind w:firstLine="480" w:firstLineChars="200"/>
        <w:jc w:val="left"/>
        <w:rPr>
          <w:sz w:val="24"/>
        </w:rPr>
      </w:pPr>
      <w:r>
        <w:rPr>
          <w:sz w:val="24"/>
        </w:rPr>
        <w:t>（二）评估范围</w:t>
      </w:r>
      <w:r>
        <w:rPr>
          <w:sz w:val="24"/>
          <w:highlight w:val="none"/>
        </w:rPr>
        <w:t>为</w:t>
      </w:r>
      <w:r>
        <w:rPr>
          <w:rFonts w:hint="eastAsia"/>
          <w:sz w:val="24"/>
          <w:highlight w:val="none"/>
          <w:lang w:eastAsia="zh-CN"/>
        </w:rPr>
        <w:t>委托人</w:t>
      </w:r>
      <w:r>
        <w:rPr>
          <w:sz w:val="24"/>
          <w:highlight w:val="none"/>
        </w:rPr>
        <w:t>申报确定的</w:t>
      </w:r>
      <w:r>
        <w:rPr>
          <w:sz w:val="24"/>
        </w:rPr>
        <w:t>单项资产。</w:t>
      </w:r>
    </w:p>
    <w:p>
      <w:pPr>
        <w:spacing w:line="500" w:lineRule="exact"/>
        <w:ind w:firstLine="480" w:firstLineChars="200"/>
        <w:jc w:val="left"/>
        <w:rPr>
          <w:sz w:val="24"/>
        </w:rPr>
      </w:pPr>
      <w:r>
        <w:rPr>
          <w:sz w:val="24"/>
        </w:rPr>
        <w:t>（三）资产状况：评估专业人员</w:t>
      </w:r>
      <w:r>
        <w:rPr>
          <w:rFonts w:hint="default" w:ascii="Times New Roman" w:hAnsi="Times New Roman" w:cs="Times New Roman"/>
          <w:sz w:val="24"/>
        </w:rPr>
        <w:t>已于</w:t>
      </w:r>
      <w:r>
        <w:rPr>
          <w:rFonts w:hint="default" w:ascii="Times New Roman" w:hAnsi="Times New Roman" w:cs="Times New Roman"/>
          <w:sz w:val="24"/>
          <w:lang w:eastAsia="zh-CN"/>
        </w:rPr>
        <w:t>2021年01月08日</w:t>
      </w:r>
      <w:r>
        <w:rPr>
          <w:sz w:val="24"/>
        </w:rPr>
        <w:t>进行了现场勘查，目前</w:t>
      </w:r>
      <w:r>
        <w:rPr>
          <w:rFonts w:hint="eastAsia"/>
          <w:sz w:val="24"/>
          <w:lang w:val="en-US" w:eastAsia="zh-CN"/>
        </w:rPr>
        <w:t>房屋建于</w:t>
      </w:r>
      <w:r>
        <w:rPr>
          <w:rFonts w:hint="eastAsia"/>
          <w:sz w:val="24"/>
        </w:rPr>
        <w:t>盐城市大丰区草庙镇工业园区</w:t>
      </w:r>
      <w:r>
        <w:rPr>
          <w:rFonts w:hint="eastAsia"/>
          <w:sz w:val="24"/>
          <w:lang w:val="en-US" w:eastAsia="zh-CN"/>
        </w:rPr>
        <w:t>内</w:t>
      </w:r>
      <w:r>
        <w:rPr>
          <w:sz w:val="24"/>
        </w:rPr>
        <w:t>。根据现场了解到目前房屋</w:t>
      </w:r>
      <w:r>
        <w:rPr>
          <w:rFonts w:hint="eastAsia"/>
          <w:sz w:val="24"/>
          <w:lang w:val="en-US" w:eastAsia="zh-CN"/>
        </w:rPr>
        <w:t>空置暂</w:t>
      </w:r>
      <w:r>
        <w:rPr>
          <w:rFonts w:hint="eastAsia"/>
          <w:sz w:val="24"/>
          <w:highlight w:val="none"/>
          <w:lang w:val="en-US" w:eastAsia="zh-CN"/>
        </w:rPr>
        <w:t>未使用</w:t>
      </w:r>
      <w:r>
        <w:rPr>
          <w:sz w:val="24"/>
        </w:rPr>
        <w:t>，房屋外观完好，结构稳固，</w:t>
      </w:r>
      <w:r>
        <w:rPr>
          <w:rFonts w:hint="eastAsia"/>
          <w:sz w:val="24"/>
          <w:lang w:val="en-US" w:eastAsia="zh-CN"/>
        </w:rPr>
        <w:t>厂房内</w:t>
      </w:r>
      <w:r>
        <w:rPr>
          <w:sz w:val="24"/>
        </w:rPr>
        <w:t>装修简单。</w:t>
      </w:r>
    </w:p>
    <w:p>
      <w:pPr>
        <w:spacing w:line="500" w:lineRule="exact"/>
        <w:ind w:firstLine="480" w:firstLineChars="200"/>
        <w:jc w:val="left"/>
        <w:rPr>
          <w:sz w:val="24"/>
        </w:rPr>
      </w:pPr>
      <w:r>
        <w:rPr>
          <w:sz w:val="24"/>
        </w:rPr>
        <w:t>（四）评估对象及评估范围详见</w:t>
      </w:r>
      <w:r>
        <w:rPr>
          <w:rFonts w:hint="eastAsia"/>
          <w:sz w:val="24"/>
          <w:lang w:eastAsia="zh-CN"/>
        </w:rPr>
        <w:t>“资产评估汇总及明细表”</w:t>
      </w:r>
      <w:r>
        <w:rPr>
          <w:sz w:val="24"/>
        </w:rPr>
        <w:t>。</w:t>
      </w:r>
    </w:p>
    <w:p>
      <w:pPr>
        <w:pStyle w:val="3"/>
        <w:spacing w:line="500" w:lineRule="exact"/>
        <w:ind w:firstLine="472" w:firstLineChars="196"/>
        <w:rPr>
          <w:rFonts w:ascii="Times New Roman" w:hAnsi="Times New Roman"/>
        </w:rPr>
      </w:pPr>
      <w:bookmarkStart w:id="19" w:name="_Toc12088"/>
      <w:r>
        <w:rPr>
          <w:rFonts w:ascii="Times New Roman" w:hAnsi="Times New Roman"/>
        </w:rPr>
        <w:t>四、价值类型</w:t>
      </w:r>
      <w:bookmarkEnd w:id="19"/>
    </w:p>
    <w:p>
      <w:pPr>
        <w:spacing w:line="500" w:lineRule="exact"/>
        <w:ind w:firstLine="480" w:firstLineChars="200"/>
        <w:rPr>
          <w:sz w:val="24"/>
        </w:rPr>
      </w:pPr>
      <w:r>
        <w:rPr>
          <w:sz w:val="24"/>
        </w:rPr>
        <w:t>（一）价值类型</w:t>
      </w:r>
    </w:p>
    <w:p>
      <w:pPr>
        <w:spacing w:line="500" w:lineRule="exact"/>
        <w:ind w:firstLine="480" w:firstLineChars="200"/>
        <w:rPr>
          <w:sz w:val="24"/>
        </w:rPr>
      </w:pPr>
      <w:r>
        <w:rPr>
          <w:sz w:val="24"/>
        </w:rPr>
        <w:t>本次评估采用的价值类型为市场价值。</w:t>
      </w:r>
    </w:p>
    <w:p>
      <w:pPr>
        <w:spacing w:line="500" w:lineRule="exact"/>
        <w:ind w:firstLine="480" w:firstLineChars="200"/>
        <w:rPr>
          <w:sz w:val="24"/>
        </w:rPr>
      </w:pPr>
      <w:r>
        <w:rPr>
          <w:sz w:val="24"/>
        </w:rPr>
        <w:t>（二）价值类型定义</w:t>
      </w:r>
    </w:p>
    <w:p>
      <w:pPr>
        <w:spacing w:line="500" w:lineRule="exact"/>
        <w:ind w:firstLine="480" w:firstLineChars="200"/>
        <w:rPr>
          <w:sz w:val="24"/>
        </w:rPr>
      </w:pPr>
      <w:r>
        <w:rPr>
          <w:sz w:val="24"/>
        </w:rPr>
        <w:t>市场价值是指自愿买方和自愿卖方在各自理性行事且未受任何强迫的情况下，评估对象在评估基准日进行正常公平交易的价值估计数额。</w:t>
      </w:r>
    </w:p>
    <w:p>
      <w:pPr>
        <w:spacing w:line="500" w:lineRule="exact"/>
        <w:ind w:firstLine="480" w:firstLineChars="200"/>
        <w:rPr>
          <w:sz w:val="24"/>
        </w:rPr>
      </w:pPr>
      <w:r>
        <w:rPr>
          <w:sz w:val="24"/>
        </w:rPr>
        <w:t>（三）选择价值类型的理由</w:t>
      </w:r>
    </w:p>
    <w:p>
      <w:pPr>
        <w:spacing w:line="500" w:lineRule="exact"/>
        <w:ind w:firstLine="480" w:firstLineChars="200"/>
        <w:rPr>
          <w:sz w:val="24"/>
        </w:rPr>
      </w:pPr>
      <w:r>
        <w:rPr>
          <w:sz w:val="24"/>
        </w:rPr>
        <w:t>评估师在充分考虑了本次评估目的、市场条件、评估对象自身条件等因素后，确定采用市场价值。</w:t>
      </w:r>
    </w:p>
    <w:p>
      <w:pPr>
        <w:pStyle w:val="3"/>
        <w:spacing w:line="500" w:lineRule="exact"/>
        <w:ind w:firstLine="472" w:firstLineChars="196"/>
        <w:rPr>
          <w:rFonts w:ascii="Times New Roman" w:hAnsi="Times New Roman"/>
        </w:rPr>
      </w:pPr>
      <w:bookmarkStart w:id="20" w:name="_Toc1738"/>
      <w:r>
        <w:rPr>
          <w:rFonts w:ascii="Times New Roman" w:hAnsi="Times New Roman"/>
        </w:rPr>
        <w:t>五、评估基准日</w:t>
      </w:r>
      <w:bookmarkEnd w:id="20"/>
    </w:p>
    <w:p>
      <w:pPr>
        <w:spacing w:line="500" w:lineRule="exact"/>
        <w:ind w:firstLine="480" w:firstLineChars="200"/>
        <w:rPr>
          <w:sz w:val="24"/>
        </w:rPr>
      </w:pPr>
      <w:r>
        <w:rPr>
          <w:sz w:val="24"/>
        </w:rPr>
        <w:t>（一）本项目资产评估基准日</w:t>
      </w:r>
      <w:r>
        <w:rPr>
          <w:rFonts w:hint="default" w:ascii="Times New Roman" w:hAnsi="Times New Roman" w:cs="Times New Roman"/>
          <w:sz w:val="24"/>
        </w:rPr>
        <w:t>为</w:t>
      </w:r>
      <w:r>
        <w:rPr>
          <w:rFonts w:hint="default" w:ascii="Times New Roman" w:hAnsi="Times New Roman" w:cs="Times New Roman"/>
          <w:sz w:val="24"/>
          <w:lang w:eastAsia="zh-CN"/>
        </w:rPr>
        <w:t>2021年01月08</w:t>
      </w:r>
      <w:r>
        <w:rPr>
          <w:rFonts w:hint="eastAsia"/>
          <w:sz w:val="24"/>
          <w:lang w:eastAsia="zh-CN"/>
        </w:rPr>
        <w:t>日</w:t>
      </w:r>
      <w:r>
        <w:rPr>
          <w:sz w:val="24"/>
        </w:rPr>
        <w:t xml:space="preserve">。 </w:t>
      </w:r>
    </w:p>
    <w:p>
      <w:pPr>
        <w:pStyle w:val="4"/>
        <w:spacing w:before="0" w:line="500" w:lineRule="exact"/>
        <w:ind w:firstLine="480" w:firstLineChars="200"/>
        <w:rPr>
          <w:sz w:val="24"/>
        </w:rPr>
      </w:pPr>
      <w:r>
        <w:rPr>
          <w:sz w:val="24"/>
        </w:rPr>
        <w:t>（二）评估基准日的确定，是委托人、</w:t>
      </w:r>
      <w:r>
        <w:rPr>
          <w:rFonts w:hint="eastAsia"/>
          <w:sz w:val="24"/>
          <w:lang w:eastAsia="zh-CN"/>
        </w:rPr>
        <w:t>委托人</w:t>
      </w:r>
      <w:r>
        <w:rPr>
          <w:sz w:val="24"/>
        </w:rPr>
        <w:t>根据以下具体情况协商择定的：</w:t>
      </w:r>
    </w:p>
    <w:p>
      <w:pPr>
        <w:spacing w:line="500" w:lineRule="exact"/>
        <w:ind w:firstLine="480" w:firstLineChars="200"/>
        <w:rPr>
          <w:sz w:val="24"/>
        </w:rPr>
      </w:pPr>
      <w:r>
        <w:rPr>
          <w:sz w:val="24"/>
        </w:rPr>
        <w:t>1．评估基准日与评估日期一致，减少实物量的调整工作，增加市场价格的询价和资信调查的准确度、透明度。</w:t>
      </w:r>
    </w:p>
    <w:p>
      <w:pPr>
        <w:spacing w:line="500" w:lineRule="exact"/>
        <w:ind w:firstLine="480" w:firstLineChars="200"/>
        <w:rPr>
          <w:sz w:val="24"/>
        </w:rPr>
      </w:pPr>
      <w:r>
        <w:rPr>
          <w:sz w:val="24"/>
        </w:rPr>
        <w:t>2．本评估基准日最大程度地达成了与评估目的的实现日的接近，有利于保证评估结果有效地服务于评估目的。</w:t>
      </w:r>
      <w:bookmarkStart w:id="21" w:name="_Hlt13021269"/>
    </w:p>
    <w:p>
      <w:pPr>
        <w:spacing w:line="500" w:lineRule="exact"/>
        <w:ind w:firstLine="480" w:firstLineChars="200"/>
        <w:rPr>
          <w:sz w:val="24"/>
        </w:rPr>
      </w:pPr>
      <w:r>
        <w:rPr>
          <w:sz w:val="24"/>
        </w:rPr>
        <w:t>3.本次评估的基准日为现场勘查日。</w:t>
      </w:r>
    </w:p>
    <w:bookmarkEnd w:id="21"/>
    <w:p>
      <w:pPr>
        <w:spacing w:line="500" w:lineRule="exact"/>
        <w:ind w:firstLine="480" w:firstLineChars="200"/>
        <w:rPr>
          <w:sz w:val="24"/>
        </w:rPr>
      </w:pPr>
      <w:r>
        <w:rPr>
          <w:sz w:val="24"/>
        </w:rPr>
        <w:t>（三）本次评估工作中所采用的价格标准均为评估基准日有效的价格标准。</w:t>
      </w:r>
    </w:p>
    <w:p>
      <w:pPr>
        <w:pStyle w:val="3"/>
        <w:spacing w:line="500" w:lineRule="exact"/>
        <w:ind w:firstLine="472" w:firstLineChars="196"/>
        <w:rPr>
          <w:rFonts w:ascii="Times New Roman" w:hAnsi="Times New Roman"/>
        </w:rPr>
      </w:pPr>
      <w:bookmarkStart w:id="22" w:name="_Toc13420"/>
      <w:r>
        <w:rPr>
          <w:rFonts w:ascii="Times New Roman" w:hAnsi="Times New Roman"/>
        </w:rPr>
        <w:t>六、评估依据</w:t>
      </w:r>
      <w:bookmarkEnd w:id="22"/>
    </w:p>
    <w:p>
      <w:pPr>
        <w:spacing w:line="500" w:lineRule="exact"/>
        <w:ind w:firstLine="480" w:firstLineChars="200"/>
        <w:jc w:val="left"/>
        <w:rPr>
          <w:sz w:val="24"/>
          <w:highlight w:val="none"/>
        </w:rPr>
      </w:pPr>
      <w:r>
        <w:rPr>
          <w:sz w:val="24"/>
        </w:rPr>
        <w:t>（一</w:t>
      </w:r>
      <w:r>
        <w:rPr>
          <w:sz w:val="24"/>
          <w:highlight w:val="none"/>
        </w:rPr>
        <w:t>）行为依据</w:t>
      </w:r>
    </w:p>
    <w:p>
      <w:pPr>
        <w:adjustRightInd w:val="0"/>
        <w:snapToGrid w:val="0"/>
        <w:spacing w:line="500" w:lineRule="exact"/>
        <w:ind w:firstLine="480" w:firstLineChars="200"/>
        <w:rPr>
          <w:rFonts w:hint="eastAsia"/>
          <w:sz w:val="24"/>
          <w:lang w:val="en-US" w:eastAsia="zh-CN"/>
        </w:rPr>
      </w:pPr>
      <w:r>
        <w:rPr>
          <w:sz w:val="24"/>
        </w:rPr>
        <w:t>1.</w:t>
      </w:r>
      <w:r>
        <w:rPr>
          <w:rFonts w:hint="eastAsia"/>
          <w:sz w:val="24"/>
          <w:lang w:val="en-US" w:eastAsia="zh-CN"/>
        </w:rPr>
        <w:t>江苏省剑丰农业实业有限公司2021年专题会议纪要；</w:t>
      </w:r>
    </w:p>
    <w:p>
      <w:pPr>
        <w:adjustRightInd w:val="0"/>
        <w:snapToGrid w:val="0"/>
        <w:spacing w:line="500" w:lineRule="exact"/>
        <w:ind w:firstLine="480" w:firstLineChars="200"/>
        <w:rPr>
          <w:rFonts w:hint="default" w:eastAsia="宋体"/>
          <w:sz w:val="24"/>
          <w:lang w:val="en-US" w:eastAsia="zh-CN"/>
        </w:rPr>
      </w:pPr>
      <w:r>
        <w:rPr>
          <w:rFonts w:hint="eastAsia"/>
          <w:sz w:val="24"/>
          <w:lang w:val="en-US" w:eastAsia="zh-CN"/>
        </w:rPr>
        <w:t>2.委托人与本公司签订的《资产评估委托合同书》。</w:t>
      </w:r>
    </w:p>
    <w:p>
      <w:pPr>
        <w:spacing w:line="500" w:lineRule="exact"/>
        <w:ind w:firstLine="480" w:firstLineChars="200"/>
        <w:jc w:val="left"/>
        <w:rPr>
          <w:sz w:val="24"/>
        </w:rPr>
      </w:pPr>
      <w:r>
        <w:rPr>
          <w:sz w:val="24"/>
        </w:rPr>
        <w:t>（二）法律法规依据</w:t>
      </w:r>
    </w:p>
    <w:p>
      <w:pPr>
        <w:spacing w:line="500" w:lineRule="exact"/>
        <w:ind w:firstLine="480" w:firstLineChars="200"/>
        <w:jc w:val="left"/>
        <w:rPr>
          <w:sz w:val="24"/>
        </w:rPr>
      </w:pPr>
      <w:r>
        <w:rPr>
          <w:sz w:val="24"/>
        </w:rPr>
        <w:t>1.《中华人民共和国公司法》（中华人民共和国主席令第42号）；</w:t>
      </w:r>
    </w:p>
    <w:p>
      <w:pPr>
        <w:spacing w:line="500" w:lineRule="exact"/>
        <w:ind w:firstLine="480" w:firstLineChars="200"/>
        <w:jc w:val="left"/>
        <w:rPr>
          <w:sz w:val="24"/>
        </w:rPr>
      </w:pPr>
      <w:r>
        <w:rPr>
          <w:sz w:val="24"/>
        </w:rPr>
        <w:t>2.</w:t>
      </w:r>
      <w:r>
        <w:rPr>
          <w:color w:val="000000"/>
          <w:sz w:val="24"/>
        </w:rPr>
        <w:t>《中华人民共和国资产评估法》（中华人民共和国主席令第46号）；</w:t>
      </w:r>
    </w:p>
    <w:p>
      <w:pPr>
        <w:spacing w:line="500" w:lineRule="exact"/>
        <w:ind w:firstLine="480" w:firstLineChars="200"/>
        <w:jc w:val="left"/>
        <w:rPr>
          <w:sz w:val="24"/>
        </w:rPr>
      </w:pPr>
      <w:r>
        <w:rPr>
          <w:sz w:val="24"/>
        </w:rPr>
        <w:t>3.《中华人民共和国担保法》（中华人民共和国主席令第50号）；</w:t>
      </w:r>
    </w:p>
    <w:p>
      <w:pPr>
        <w:pStyle w:val="6"/>
        <w:spacing w:line="500" w:lineRule="exact"/>
        <w:ind w:firstLine="480" w:firstLineChars="200"/>
        <w:contextualSpacing/>
        <w:rPr>
          <w:color w:val="000000"/>
          <w:sz w:val="24"/>
          <w:szCs w:val="24"/>
        </w:rPr>
      </w:pPr>
      <w:r>
        <w:rPr>
          <w:sz w:val="24"/>
        </w:rPr>
        <w:t>4.</w:t>
      </w:r>
      <w:r>
        <w:rPr>
          <w:color w:val="000000"/>
          <w:sz w:val="24"/>
          <w:szCs w:val="24"/>
        </w:rPr>
        <w:t>《中华人民共和国城市房地产管理法》（</w:t>
      </w:r>
      <w:r>
        <w:rPr>
          <w:rFonts w:hint="eastAsia"/>
          <w:color w:val="000000"/>
          <w:sz w:val="24"/>
          <w:szCs w:val="24"/>
        </w:rPr>
        <w:t>根据2019年8月26日第十三届全国人民代表大会常务委员会第十二次会议《关于修改〈中华人民共和国土地管理法〉、〈中华人民共和国城市房地产管理法〉的决定》第三次修正，自2020年1月1日起施行</w:t>
      </w:r>
      <w:r>
        <w:rPr>
          <w:color w:val="000000"/>
          <w:sz w:val="24"/>
          <w:szCs w:val="24"/>
        </w:rPr>
        <w:t>）；</w:t>
      </w:r>
    </w:p>
    <w:p>
      <w:pPr>
        <w:pStyle w:val="6"/>
        <w:spacing w:line="500" w:lineRule="exact"/>
        <w:ind w:firstLine="480" w:firstLineChars="200"/>
        <w:contextualSpacing/>
        <w:rPr>
          <w:color w:val="000000"/>
          <w:sz w:val="24"/>
          <w:szCs w:val="24"/>
        </w:rPr>
      </w:pPr>
      <w:r>
        <w:rPr>
          <w:rFonts w:hint="eastAsia"/>
          <w:sz w:val="24"/>
          <w:lang w:val="en-US" w:eastAsia="zh-CN"/>
        </w:rPr>
        <w:t>5</w:t>
      </w:r>
      <w:r>
        <w:rPr>
          <w:sz w:val="24"/>
        </w:rPr>
        <w:t>.</w:t>
      </w:r>
      <w:r>
        <w:rPr>
          <w:color w:val="000000"/>
          <w:sz w:val="24"/>
          <w:szCs w:val="24"/>
        </w:rPr>
        <w:t>《中华人民共和国城乡规划法》（中华人民共和国第十届全国人民代表大会常务委员会第三十次会议于2007年10月28日通过，自2008年1月1日起施行）；</w:t>
      </w:r>
    </w:p>
    <w:p>
      <w:pPr>
        <w:pStyle w:val="6"/>
        <w:spacing w:line="500" w:lineRule="exact"/>
        <w:ind w:firstLine="480" w:firstLineChars="200"/>
        <w:contextualSpacing/>
        <w:rPr>
          <w:color w:val="000000"/>
          <w:sz w:val="24"/>
          <w:szCs w:val="24"/>
        </w:rPr>
      </w:pPr>
      <w:r>
        <w:rPr>
          <w:rFonts w:hint="eastAsia"/>
          <w:color w:val="000000"/>
          <w:sz w:val="24"/>
          <w:szCs w:val="24"/>
          <w:lang w:val="en-US" w:eastAsia="zh-CN"/>
        </w:rPr>
        <w:t>6</w:t>
      </w:r>
      <w:r>
        <w:rPr>
          <w:color w:val="000000"/>
          <w:sz w:val="24"/>
          <w:szCs w:val="24"/>
        </w:rPr>
        <w:t>.《中华人民共和国土地管理法》（</w:t>
      </w:r>
      <w:r>
        <w:rPr>
          <w:rFonts w:hint="eastAsia"/>
          <w:color w:val="000000"/>
          <w:sz w:val="24"/>
          <w:szCs w:val="24"/>
        </w:rPr>
        <w:t>根据2019年8月26日第十三届全国人民代表大会常务委员会第十二次会议《关于修改〈中华人民共和国土地管理法〉、〈中华人民共和国城市房地产管理法〉的决定》第三次修正，自2020年1月1日起施行</w:t>
      </w:r>
      <w:r>
        <w:rPr>
          <w:color w:val="000000"/>
          <w:sz w:val="24"/>
          <w:szCs w:val="24"/>
        </w:rPr>
        <w:t>）；</w:t>
      </w:r>
    </w:p>
    <w:p>
      <w:pPr>
        <w:pStyle w:val="6"/>
        <w:spacing w:line="500" w:lineRule="exact"/>
        <w:ind w:firstLine="480" w:firstLineChars="200"/>
        <w:contextualSpacing/>
        <w:rPr>
          <w:color w:val="000000"/>
          <w:sz w:val="24"/>
          <w:szCs w:val="24"/>
        </w:rPr>
      </w:pPr>
      <w:r>
        <w:rPr>
          <w:color w:val="000000"/>
          <w:sz w:val="24"/>
          <w:szCs w:val="24"/>
        </w:rPr>
        <w:t>7</w:t>
      </w:r>
      <w:r>
        <w:rPr>
          <w:sz w:val="24"/>
        </w:rPr>
        <w:t>.</w:t>
      </w:r>
      <w:r>
        <w:rPr>
          <w:color w:val="000000"/>
          <w:sz w:val="24"/>
          <w:szCs w:val="24"/>
        </w:rPr>
        <w:t>《中华人民共和国城镇国有土地使用证出让和转让暂行条例》（1990年5月19日国务院令第55号，1990年5月19日施行）；</w:t>
      </w:r>
    </w:p>
    <w:p>
      <w:pPr>
        <w:tabs>
          <w:tab w:val="left" w:pos="3045"/>
        </w:tabs>
        <w:spacing w:line="500" w:lineRule="exact"/>
        <w:ind w:right="28" w:firstLine="480" w:firstLineChars="200"/>
        <w:rPr>
          <w:sz w:val="24"/>
        </w:rPr>
      </w:pPr>
      <w:r>
        <w:rPr>
          <w:rFonts w:hint="eastAsia"/>
          <w:sz w:val="24"/>
          <w:lang w:val="en-US" w:eastAsia="zh-CN"/>
        </w:rPr>
        <w:t>8</w:t>
      </w:r>
      <w:r>
        <w:rPr>
          <w:sz w:val="24"/>
        </w:rPr>
        <w:t>.其他与资产评估相关的法律、法规。</w:t>
      </w:r>
    </w:p>
    <w:p>
      <w:pPr>
        <w:tabs>
          <w:tab w:val="left" w:pos="525"/>
        </w:tabs>
        <w:spacing w:line="500" w:lineRule="exact"/>
        <w:ind w:firstLine="480"/>
        <w:jc w:val="left"/>
        <w:rPr>
          <w:sz w:val="24"/>
        </w:rPr>
      </w:pPr>
      <w:r>
        <w:rPr>
          <w:sz w:val="24"/>
        </w:rPr>
        <w:t>（三）评估准则依据</w:t>
      </w:r>
    </w:p>
    <w:p>
      <w:pPr>
        <w:numPr>
          <w:ilvl w:val="0"/>
          <w:numId w:val="3"/>
        </w:numPr>
        <w:tabs>
          <w:tab w:val="left" w:pos="3045"/>
        </w:tabs>
        <w:spacing w:line="500" w:lineRule="exact"/>
        <w:ind w:right="28" w:firstLine="480"/>
        <w:rPr>
          <w:sz w:val="24"/>
        </w:rPr>
      </w:pPr>
      <w:r>
        <w:rPr>
          <w:sz w:val="24"/>
        </w:rPr>
        <w:t>《资产评估基本准则》（</w:t>
      </w:r>
      <w:r>
        <w:rPr>
          <w:color w:val="000000"/>
          <w:sz w:val="24"/>
          <w:shd w:val="clear" w:color="auto" w:fill="FFFFFF"/>
        </w:rPr>
        <w:t>财资〔2017〕43号</w:t>
      </w:r>
      <w:r>
        <w:rPr>
          <w:sz w:val="24"/>
        </w:rPr>
        <w:t>）；</w:t>
      </w:r>
    </w:p>
    <w:p>
      <w:pPr>
        <w:numPr>
          <w:ilvl w:val="0"/>
          <w:numId w:val="3"/>
        </w:numPr>
        <w:tabs>
          <w:tab w:val="left" w:pos="3045"/>
        </w:tabs>
        <w:spacing w:line="500" w:lineRule="exact"/>
        <w:ind w:right="28" w:firstLine="480"/>
        <w:rPr>
          <w:sz w:val="24"/>
        </w:rPr>
      </w:pPr>
      <w:r>
        <w:rPr>
          <w:sz w:val="24"/>
        </w:rPr>
        <w:t>《资产评估职业道德准则》（</w:t>
      </w:r>
      <w:r>
        <w:rPr>
          <w:color w:val="000000"/>
          <w:sz w:val="24"/>
          <w:shd w:val="clear" w:color="auto" w:fill="FFFFFF"/>
        </w:rPr>
        <w:t>中评协〔2017〕30号</w:t>
      </w:r>
      <w:r>
        <w:rPr>
          <w:sz w:val="24"/>
        </w:rPr>
        <w:t>）；</w:t>
      </w:r>
    </w:p>
    <w:p>
      <w:pPr>
        <w:numPr>
          <w:ilvl w:val="0"/>
          <w:numId w:val="3"/>
        </w:numPr>
        <w:tabs>
          <w:tab w:val="left" w:pos="3045"/>
        </w:tabs>
        <w:spacing w:line="500" w:lineRule="exact"/>
        <w:ind w:right="28" w:firstLine="480"/>
        <w:rPr>
          <w:sz w:val="24"/>
        </w:rPr>
      </w:pPr>
      <w:r>
        <w:rPr>
          <w:sz w:val="24"/>
        </w:rPr>
        <w:t>《资产评估执业准则－－不动产》（</w:t>
      </w:r>
      <w:r>
        <w:rPr>
          <w:color w:val="000000"/>
          <w:sz w:val="24"/>
          <w:shd w:val="clear" w:color="auto" w:fill="FFFFFF"/>
        </w:rPr>
        <w:t>中评协〔2017〕38号</w:t>
      </w:r>
      <w:r>
        <w:rPr>
          <w:sz w:val="24"/>
        </w:rPr>
        <w:t>）；</w:t>
      </w:r>
    </w:p>
    <w:p>
      <w:pPr>
        <w:numPr>
          <w:ilvl w:val="0"/>
          <w:numId w:val="3"/>
        </w:numPr>
        <w:tabs>
          <w:tab w:val="left" w:pos="3045"/>
        </w:tabs>
        <w:spacing w:line="500" w:lineRule="exact"/>
        <w:ind w:right="28" w:firstLine="480"/>
        <w:rPr>
          <w:sz w:val="24"/>
        </w:rPr>
      </w:pPr>
      <w:r>
        <w:rPr>
          <w:sz w:val="24"/>
        </w:rPr>
        <w:t>《资产评估执业准则－－</w:t>
      </w:r>
      <w:r>
        <w:rPr>
          <w:color w:val="000000"/>
          <w:sz w:val="24"/>
          <w:shd w:val="clear" w:color="auto" w:fill="FFFFFF"/>
        </w:rPr>
        <w:t>资产评估委托合同</w:t>
      </w:r>
      <w:r>
        <w:rPr>
          <w:sz w:val="24"/>
        </w:rPr>
        <w:t>》（</w:t>
      </w:r>
      <w:r>
        <w:rPr>
          <w:color w:val="000000"/>
          <w:sz w:val="24"/>
          <w:shd w:val="clear" w:color="auto" w:fill="FFFFFF"/>
        </w:rPr>
        <w:t>中评协〔2017〕33号</w:t>
      </w:r>
      <w:r>
        <w:rPr>
          <w:sz w:val="24"/>
        </w:rPr>
        <w:t>）；</w:t>
      </w:r>
    </w:p>
    <w:p>
      <w:pPr>
        <w:numPr>
          <w:ilvl w:val="0"/>
          <w:numId w:val="3"/>
        </w:numPr>
        <w:tabs>
          <w:tab w:val="left" w:pos="3045"/>
        </w:tabs>
        <w:spacing w:line="500" w:lineRule="exact"/>
        <w:ind w:right="28" w:firstLine="480"/>
        <w:rPr>
          <w:color w:val="000000"/>
          <w:sz w:val="24"/>
        </w:rPr>
      </w:pPr>
      <w:r>
        <w:rPr>
          <w:color w:val="000000"/>
          <w:sz w:val="24"/>
        </w:rPr>
        <w:t>《资产评估执业准则－－</w:t>
      </w:r>
      <w:r>
        <w:rPr>
          <w:color w:val="000000"/>
          <w:sz w:val="24"/>
          <w:shd w:val="clear" w:color="auto" w:fill="FFFFFF"/>
        </w:rPr>
        <w:t>资产评估档案</w:t>
      </w:r>
      <w:r>
        <w:rPr>
          <w:color w:val="000000"/>
          <w:sz w:val="24"/>
        </w:rPr>
        <w:t>》（</w:t>
      </w:r>
      <w:r>
        <w:rPr>
          <w:color w:val="000000"/>
          <w:sz w:val="24"/>
          <w:shd w:val="clear" w:color="auto" w:fill="FFFFFF"/>
        </w:rPr>
        <w:t>中评协〔2018〕37号</w:t>
      </w:r>
      <w:r>
        <w:rPr>
          <w:color w:val="000000"/>
          <w:sz w:val="24"/>
        </w:rPr>
        <w:t>）；</w:t>
      </w:r>
    </w:p>
    <w:p>
      <w:pPr>
        <w:numPr>
          <w:ilvl w:val="0"/>
          <w:numId w:val="3"/>
        </w:numPr>
        <w:tabs>
          <w:tab w:val="left" w:pos="3045"/>
        </w:tabs>
        <w:spacing w:line="500" w:lineRule="exact"/>
        <w:ind w:right="28" w:firstLine="480"/>
        <w:rPr>
          <w:sz w:val="24"/>
        </w:rPr>
      </w:pPr>
      <w:r>
        <w:rPr>
          <w:sz w:val="24"/>
        </w:rPr>
        <w:t>《资产评估执业准则－－资产评估程序》（</w:t>
      </w:r>
      <w:r>
        <w:rPr>
          <w:color w:val="000000"/>
          <w:sz w:val="24"/>
          <w:shd w:val="clear" w:color="auto" w:fill="FFFFFF"/>
        </w:rPr>
        <w:t>中评协〔2018〕36号</w:t>
      </w:r>
      <w:r>
        <w:rPr>
          <w:sz w:val="24"/>
        </w:rPr>
        <w:t>）；</w:t>
      </w:r>
    </w:p>
    <w:p>
      <w:pPr>
        <w:numPr>
          <w:ilvl w:val="0"/>
          <w:numId w:val="3"/>
        </w:numPr>
        <w:tabs>
          <w:tab w:val="left" w:pos="3045"/>
        </w:tabs>
        <w:spacing w:line="500" w:lineRule="exact"/>
        <w:ind w:right="28" w:firstLine="480"/>
        <w:rPr>
          <w:sz w:val="24"/>
        </w:rPr>
      </w:pPr>
      <w:r>
        <w:rPr>
          <w:sz w:val="24"/>
        </w:rPr>
        <w:t>《资产评估执业准则－－资产评估报告》（</w:t>
      </w:r>
      <w:r>
        <w:rPr>
          <w:color w:val="000000"/>
          <w:sz w:val="24"/>
          <w:shd w:val="clear" w:color="auto" w:fill="FFFFFF"/>
        </w:rPr>
        <w:t>中评协〔2018〕35号</w:t>
      </w:r>
      <w:r>
        <w:rPr>
          <w:sz w:val="24"/>
        </w:rPr>
        <w:t>）；</w:t>
      </w:r>
    </w:p>
    <w:p>
      <w:pPr>
        <w:numPr>
          <w:ilvl w:val="0"/>
          <w:numId w:val="3"/>
        </w:numPr>
        <w:tabs>
          <w:tab w:val="left" w:pos="3045"/>
        </w:tabs>
        <w:spacing w:line="500" w:lineRule="exact"/>
        <w:ind w:right="28" w:firstLine="480"/>
        <w:rPr>
          <w:sz w:val="24"/>
        </w:rPr>
      </w:pPr>
      <w:r>
        <w:rPr>
          <w:sz w:val="24"/>
        </w:rPr>
        <w:t>《资产评估执业准则－－</w:t>
      </w:r>
      <w:r>
        <w:rPr>
          <w:color w:val="000000"/>
          <w:sz w:val="24"/>
          <w:shd w:val="clear" w:color="auto" w:fill="FFFFFF"/>
        </w:rPr>
        <w:t>利用专家工作及相关报告</w:t>
      </w:r>
      <w:r>
        <w:rPr>
          <w:sz w:val="24"/>
        </w:rPr>
        <w:t>》（</w:t>
      </w:r>
      <w:r>
        <w:rPr>
          <w:color w:val="000000"/>
          <w:sz w:val="24"/>
          <w:shd w:val="clear" w:color="auto" w:fill="FFFFFF"/>
        </w:rPr>
        <w:t>中评协〔2017〕35号</w:t>
      </w:r>
      <w:r>
        <w:rPr>
          <w:sz w:val="24"/>
        </w:rPr>
        <w:t>）；</w:t>
      </w:r>
    </w:p>
    <w:p>
      <w:pPr>
        <w:numPr>
          <w:ilvl w:val="0"/>
          <w:numId w:val="3"/>
        </w:numPr>
        <w:tabs>
          <w:tab w:val="left" w:pos="3045"/>
        </w:tabs>
        <w:spacing w:line="500" w:lineRule="exact"/>
        <w:ind w:right="28" w:firstLine="480"/>
        <w:rPr>
          <w:sz w:val="24"/>
        </w:rPr>
      </w:pPr>
      <w:r>
        <w:rPr>
          <w:sz w:val="24"/>
        </w:rPr>
        <w:t>《企业国有资产评估报告指南》（</w:t>
      </w:r>
      <w:r>
        <w:rPr>
          <w:color w:val="000000"/>
          <w:sz w:val="24"/>
          <w:shd w:val="clear" w:color="auto" w:fill="FFFFFF"/>
        </w:rPr>
        <w:t>中评协〔2017〕42号</w:t>
      </w:r>
      <w:r>
        <w:rPr>
          <w:sz w:val="24"/>
        </w:rPr>
        <w:t>）；</w:t>
      </w:r>
    </w:p>
    <w:p>
      <w:pPr>
        <w:numPr>
          <w:ilvl w:val="0"/>
          <w:numId w:val="3"/>
        </w:numPr>
        <w:tabs>
          <w:tab w:val="left" w:pos="3045"/>
        </w:tabs>
        <w:spacing w:line="500" w:lineRule="exact"/>
        <w:ind w:right="28" w:firstLine="480"/>
        <w:rPr>
          <w:sz w:val="24"/>
        </w:rPr>
      </w:pPr>
      <w:r>
        <w:rPr>
          <w:color w:val="000000"/>
          <w:sz w:val="24"/>
          <w:shd w:val="clear" w:color="auto" w:fill="FFFFFF"/>
        </w:rPr>
        <w:t>《资产评估机构业务质量控制指南》（中评协〔2017〕46号）；</w:t>
      </w:r>
    </w:p>
    <w:p>
      <w:pPr>
        <w:numPr>
          <w:ilvl w:val="0"/>
          <w:numId w:val="3"/>
        </w:numPr>
        <w:tabs>
          <w:tab w:val="left" w:pos="3045"/>
        </w:tabs>
        <w:spacing w:line="500" w:lineRule="exact"/>
        <w:ind w:right="28" w:firstLine="480"/>
        <w:rPr>
          <w:sz w:val="24"/>
        </w:rPr>
      </w:pPr>
      <w:r>
        <w:rPr>
          <w:sz w:val="24"/>
        </w:rPr>
        <w:t>《</w:t>
      </w:r>
      <w:r>
        <w:rPr>
          <w:color w:val="000000"/>
          <w:sz w:val="24"/>
          <w:shd w:val="clear" w:color="auto" w:fill="FFFFFF"/>
        </w:rPr>
        <w:t>资产评估对象法律权属指导意见</w:t>
      </w:r>
      <w:r>
        <w:rPr>
          <w:sz w:val="24"/>
        </w:rPr>
        <w:t>》（</w:t>
      </w:r>
      <w:r>
        <w:rPr>
          <w:color w:val="000000"/>
          <w:sz w:val="24"/>
          <w:shd w:val="clear" w:color="auto" w:fill="FFFFFF"/>
        </w:rPr>
        <w:t>中评协〔2017〕48号</w:t>
      </w:r>
      <w:r>
        <w:rPr>
          <w:sz w:val="24"/>
        </w:rPr>
        <w:t>）；</w:t>
      </w:r>
    </w:p>
    <w:p>
      <w:pPr>
        <w:numPr>
          <w:ilvl w:val="0"/>
          <w:numId w:val="3"/>
        </w:numPr>
        <w:tabs>
          <w:tab w:val="left" w:pos="3045"/>
        </w:tabs>
        <w:spacing w:line="500" w:lineRule="exact"/>
        <w:ind w:right="28" w:firstLine="480"/>
        <w:rPr>
          <w:sz w:val="24"/>
        </w:rPr>
      </w:pPr>
      <w:r>
        <w:rPr>
          <w:color w:val="000000"/>
          <w:sz w:val="24"/>
          <w:shd w:val="clear" w:color="auto" w:fill="FFFFFF"/>
        </w:rPr>
        <w:t>《资产评估价值类型指导意见》（中评协〔2017〕47号）；</w:t>
      </w:r>
    </w:p>
    <w:p>
      <w:pPr>
        <w:numPr>
          <w:ilvl w:val="0"/>
          <w:numId w:val="3"/>
        </w:numPr>
        <w:tabs>
          <w:tab w:val="left" w:pos="3045"/>
        </w:tabs>
        <w:spacing w:line="500" w:lineRule="exact"/>
        <w:ind w:right="28" w:firstLine="480"/>
        <w:rPr>
          <w:color w:val="000000"/>
          <w:sz w:val="24"/>
          <w:shd w:val="clear" w:color="auto" w:fill="FFFFFF"/>
        </w:rPr>
      </w:pPr>
      <w:r>
        <w:rPr>
          <w:color w:val="000000"/>
          <w:sz w:val="24"/>
          <w:shd w:val="clear" w:color="auto" w:fill="FFFFFF"/>
        </w:rPr>
        <w:t>《资产评估专家指引第10号——在新冠肺炎疫情期间合理履行资产评估程序》（中评协〔2020〕6号）；</w:t>
      </w:r>
    </w:p>
    <w:p>
      <w:pPr>
        <w:numPr>
          <w:ilvl w:val="0"/>
          <w:numId w:val="3"/>
        </w:numPr>
        <w:tabs>
          <w:tab w:val="left" w:pos="3045"/>
        </w:tabs>
        <w:spacing w:line="500" w:lineRule="exact"/>
        <w:ind w:right="28" w:firstLine="480"/>
        <w:rPr>
          <w:sz w:val="24"/>
        </w:rPr>
      </w:pPr>
      <w:r>
        <w:rPr>
          <w:sz w:val="24"/>
        </w:rPr>
        <w:t>《房地产估价规范》（GB/T 50291-2015）</w:t>
      </w:r>
      <w:r>
        <w:rPr>
          <w:rFonts w:hint="eastAsia"/>
          <w:sz w:val="24"/>
          <w:lang w:eastAsia="zh-CN"/>
        </w:rPr>
        <w:t>；</w:t>
      </w:r>
    </w:p>
    <w:p>
      <w:pPr>
        <w:numPr>
          <w:ilvl w:val="0"/>
          <w:numId w:val="3"/>
        </w:numPr>
        <w:tabs>
          <w:tab w:val="left" w:pos="3045"/>
        </w:tabs>
        <w:spacing w:line="500" w:lineRule="exact"/>
        <w:ind w:right="28" w:firstLine="480"/>
        <w:rPr>
          <w:sz w:val="24"/>
        </w:rPr>
      </w:pPr>
      <w:r>
        <w:rPr>
          <w:sz w:val="24"/>
        </w:rPr>
        <w:t>《城镇土地估价规程》（GB/T 18508-2014）；</w:t>
      </w:r>
    </w:p>
    <w:p>
      <w:pPr>
        <w:numPr>
          <w:ilvl w:val="0"/>
          <w:numId w:val="3"/>
        </w:numPr>
        <w:tabs>
          <w:tab w:val="left" w:pos="3045"/>
        </w:tabs>
        <w:spacing w:line="500" w:lineRule="exact"/>
        <w:ind w:right="28" w:firstLine="480"/>
        <w:rPr>
          <w:sz w:val="24"/>
        </w:rPr>
      </w:pPr>
      <w:r>
        <w:rPr>
          <w:sz w:val="24"/>
        </w:rPr>
        <w:t>《城镇土地分等定级规程》（GB/T 18507-2014）</w:t>
      </w:r>
      <w:r>
        <w:rPr>
          <w:rFonts w:hint="eastAsia"/>
          <w:sz w:val="24"/>
          <w:lang w:eastAsia="zh-CN"/>
        </w:rPr>
        <w:t>。</w:t>
      </w:r>
    </w:p>
    <w:p>
      <w:pPr>
        <w:numPr>
          <w:ilvl w:val="0"/>
          <w:numId w:val="4"/>
        </w:numPr>
        <w:tabs>
          <w:tab w:val="left" w:pos="525"/>
        </w:tabs>
        <w:spacing w:line="500" w:lineRule="exact"/>
        <w:ind w:firstLine="480"/>
        <w:jc w:val="left"/>
        <w:rPr>
          <w:sz w:val="24"/>
        </w:rPr>
      </w:pPr>
      <w:r>
        <w:rPr>
          <w:sz w:val="24"/>
        </w:rPr>
        <w:t>产权依据</w:t>
      </w:r>
    </w:p>
    <w:p>
      <w:pPr>
        <w:numPr>
          <w:ilvl w:val="0"/>
          <w:numId w:val="5"/>
        </w:numPr>
        <w:tabs>
          <w:tab w:val="left" w:pos="525"/>
        </w:tabs>
        <w:spacing w:line="500" w:lineRule="exact"/>
        <w:ind w:left="0" w:firstLine="480" w:firstLineChars="200"/>
        <w:jc w:val="left"/>
        <w:rPr>
          <w:sz w:val="24"/>
        </w:rPr>
      </w:pPr>
      <w:r>
        <w:rPr>
          <w:rFonts w:hint="eastAsia"/>
          <w:sz w:val="24"/>
          <w:lang w:val="en-US" w:eastAsia="zh-CN"/>
        </w:rPr>
        <w:t>委托人提供的土地出让合同、房屋建筑设计图纸及工程审定结算书</w:t>
      </w:r>
      <w:r>
        <w:rPr>
          <w:sz w:val="24"/>
        </w:rPr>
        <w:t>；</w:t>
      </w:r>
    </w:p>
    <w:p>
      <w:pPr>
        <w:numPr>
          <w:ilvl w:val="0"/>
          <w:numId w:val="5"/>
        </w:numPr>
        <w:tabs>
          <w:tab w:val="left" w:pos="525"/>
        </w:tabs>
        <w:spacing w:line="500" w:lineRule="exact"/>
        <w:ind w:left="0" w:firstLine="480" w:firstLineChars="200"/>
        <w:jc w:val="left"/>
        <w:rPr>
          <w:sz w:val="24"/>
        </w:rPr>
      </w:pPr>
      <w:r>
        <w:rPr>
          <w:rFonts w:hint="eastAsia"/>
          <w:sz w:val="24"/>
          <w:lang w:val="en-US" w:eastAsia="zh-CN"/>
        </w:rPr>
        <w:t>委托人提供的《专题会议纪要》。</w:t>
      </w:r>
    </w:p>
    <w:p>
      <w:pPr>
        <w:spacing w:line="500" w:lineRule="exact"/>
        <w:ind w:firstLine="480" w:firstLineChars="200"/>
        <w:jc w:val="left"/>
        <w:rPr>
          <w:sz w:val="24"/>
        </w:rPr>
      </w:pPr>
      <w:r>
        <w:rPr>
          <w:sz w:val="24"/>
        </w:rPr>
        <w:t>（五）取价依据</w:t>
      </w:r>
    </w:p>
    <w:p>
      <w:pPr>
        <w:numPr>
          <w:ilvl w:val="0"/>
          <w:numId w:val="6"/>
        </w:numPr>
        <w:tabs>
          <w:tab w:val="left" w:pos="2880"/>
        </w:tabs>
        <w:adjustRightInd w:val="0"/>
        <w:spacing w:line="500" w:lineRule="exact"/>
        <w:ind w:left="0" w:leftChars="0" w:firstLine="480" w:firstLineChars="200"/>
        <w:jc w:val="left"/>
        <w:rPr>
          <w:color w:val="000000"/>
          <w:sz w:val="24"/>
        </w:rPr>
      </w:pPr>
      <w:r>
        <w:rPr>
          <w:sz w:val="24"/>
        </w:rPr>
        <w:t>财经出版社出版的《最新资产评估常用数据与参数手册》</w:t>
      </w:r>
      <w:r>
        <w:rPr>
          <w:color w:val="000000"/>
          <w:sz w:val="24"/>
        </w:rPr>
        <w:t>；</w:t>
      </w:r>
    </w:p>
    <w:p>
      <w:pPr>
        <w:numPr>
          <w:ilvl w:val="0"/>
          <w:numId w:val="6"/>
        </w:numPr>
        <w:tabs>
          <w:tab w:val="left" w:pos="0"/>
        </w:tabs>
        <w:adjustRightInd w:val="0"/>
        <w:snapToGrid w:val="0"/>
        <w:spacing w:line="500" w:lineRule="exact"/>
        <w:ind w:left="0" w:leftChars="0" w:firstLine="480" w:firstLineChars="200"/>
        <w:jc w:val="left"/>
        <w:rPr>
          <w:sz w:val="24"/>
        </w:rPr>
      </w:pPr>
      <w:r>
        <w:rPr>
          <w:sz w:val="24"/>
        </w:rPr>
        <w:t>建设部颁发的《房屋完损等级评定标准》；</w:t>
      </w:r>
    </w:p>
    <w:p>
      <w:pPr>
        <w:numPr>
          <w:ilvl w:val="0"/>
          <w:numId w:val="6"/>
        </w:numPr>
        <w:tabs>
          <w:tab w:val="left" w:pos="0"/>
        </w:tabs>
        <w:adjustRightInd w:val="0"/>
        <w:snapToGrid w:val="0"/>
        <w:spacing w:line="500" w:lineRule="exact"/>
        <w:ind w:left="0" w:leftChars="0" w:firstLine="480" w:firstLineChars="200"/>
        <w:jc w:val="left"/>
        <w:rPr>
          <w:sz w:val="24"/>
        </w:rPr>
      </w:pPr>
      <w:r>
        <w:rPr>
          <w:rFonts w:hint="eastAsia"/>
          <w:sz w:val="24"/>
        </w:rPr>
        <w:t>《盐城市市区房屋征收评估指导参数》盐住建征开[2019]3号</w:t>
      </w:r>
      <w:r>
        <w:rPr>
          <w:sz w:val="24"/>
        </w:rPr>
        <w:t>；</w:t>
      </w:r>
    </w:p>
    <w:p>
      <w:pPr>
        <w:numPr>
          <w:ilvl w:val="0"/>
          <w:numId w:val="6"/>
        </w:numPr>
        <w:tabs>
          <w:tab w:val="left" w:pos="0"/>
        </w:tabs>
        <w:adjustRightInd w:val="0"/>
        <w:snapToGrid w:val="0"/>
        <w:spacing w:line="500" w:lineRule="exact"/>
        <w:ind w:left="0" w:leftChars="0" w:firstLine="480" w:firstLineChars="200"/>
        <w:jc w:val="left"/>
        <w:rPr>
          <w:rFonts w:hint="eastAsia"/>
          <w:sz w:val="24"/>
        </w:rPr>
      </w:pPr>
      <w:r>
        <w:rPr>
          <w:rFonts w:hint="eastAsia"/>
          <w:sz w:val="24"/>
        </w:rPr>
        <w:t>江苏土地市场网（http://www.landjs.com/）</w:t>
      </w:r>
      <w:r>
        <w:rPr>
          <w:rFonts w:hint="eastAsia"/>
          <w:sz w:val="24"/>
          <w:lang w:eastAsia="zh-CN"/>
        </w:rPr>
        <w:t>；</w:t>
      </w:r>
    </w:p>
    <w:p>
      <w:pPr>
        <w:numPr>
          <w:ilvl w:val="0"/>
          <w:numId w:val="6"/>
        </w:numPr>
        <w:tabs>
          <w:tab w:val="left" w:pos="0"/>
        </w:tabs>
        <w:adjustRightInd w:val="0"/>
        <w:snapToGrid w:val="0"/>
        <w:spacing w:line="500" w:lineRule="exact"/>
        <w:ind w:left="0" w:leftChars="0" w:firstLine="480" w:firstLineChars="200"/>
        <w:jc w:val="left"/>
        <w:rPr>
          <w:rFonts w:hint="eastAsia"/>
          <w:sz w:val="24"/>
        </w:rPr>
      </w:pPr>
      <w:r>
        <w:rPr>
          <w:rFonts w:hint="eastAsia"/>
          <w:sz w:val="24"/>
          <w:lang w:val="en-US" w:eastAsia="zh-CN"/>
        </w:rPr>
        <w:t>58同城网（https://dafeng.58.com）；</w:t>
      </w:r>
    </w:p>
    <w:p>
      <w:pPr>
        <w:numPr>
          <w:ilvl w:val="0"/>
          <w:numId w:val="6"/>
        </w:numPr>
        <w:tabs>
          <w:tab w:val="left" w:pos="0"/>
        </w:tabs>
        <w:adjustRightInd w:val="0"/>
        <w:snapToGrid w:val="0"/>
        <w:spacing w:line="500" w:lineRule="exact"/>
        <w:ind w:left="0" w:leftChars="0" w:firstLine="480" w:firstLineChars="200"/>
        <w:jc w:val="left"/>
        <w:rPr>
          <w:color w:val="000000"/>
          <w:sz w:val="24"/>
        </w:rPr>
      </w:pPr>
      <w:r>
        <w:rPr>
          <w:sz w:val="24"/>
        </w:rPr>
        <w:t>评估机构收集和掌握的其他资料。</w:t>
      </w:r>
    </w:p>
    <w:p>
      <w:pPr>
        <w:spacing w:line="500" w:lineRule="exact"/>
        <w:ind w:firstLine="480"/>
        <w:jc w:val="left"/>
        <w:rPr>
          <w:sz w:val="24"/>
        </w:rPr>
      </w:pPr>
      <w:r>
        <w:rPr>
          <w:sz w:val="24"/>
        </w:rPr>
        <w:t>（六）其他依据</w:t>
      </w:r>
    </w:p>
    <w:p>
      <w:pPr>
        <w:numPr>
          <w:ilvl w:val="0"/>
          <w:numId w:val="7"/>
        </w:numPr>
        <w:tabs>
          <w:tab w:val="left" w:pos="0"/>
        </w:tabs>
        <w:spacing w:line="500" w:lineRule="exact"/>
        <w:ind w:left="0" w:firstLine="480" w:firstLineChars="200"/>
        <w:jc w:val="left"/>
        <w:rPr>
          <w:sz w:val="24"/>
        </w:rPr>
      </w:pPr>
      <w:r>
        <w:rPr>
          <w:rFonts w:hint="eastAsia"/>
          <w:sz w:val="24"/>
          <w:lang w:val="en-US" w:eastAsia="zh-CN"/>
        </w:rPr>
        <w:t>委托人提供的</w:t>
      </w:r>
      <w:r>
        <w:rPr>
          <w:sz w:val="24"/>
        </w:rPr>
        <w:t>《资产申报明细表》；</w:t>
      </w:r>
    </w:p>
    <w:p>
      <w:pPr>
        <w:numPr>
          <w:ilvl w:val="0"/>
          <w:numId w:val="7"/>
        </w:numPr>
        <w:tabs>
          <w:tab w:val="left" w:pos="525"/>
        </w:tabs>
        <w:spacing w:line="500" w:lineRule="exact"/>
        <w:ind w:left="0" w:firstLine="480" w:firstLineChars="200"/>
        <w:jc w:val="left"/>
        <w:rPr>
          <w:sz w:val="24"/>
        </w:rPr>
      </w:pPr>
      <w:r>
        <w:rPr>
          <w:sz w:val="24"/>
        </w:rPr>
        <w:t>评估人员现场清查核实记录、现场勘查所收集到的资料，以及评估过程中参数数据选取所收集到的相关资料；</w:t>
      </w:r>
    </w:p>
    <w:p>
      <w:pPr>
        <w:numPr>
          <w:ilvl w:val="0"/>
          <w:numId w:val="5"/>
        </w:numPr>
        <w:tabs>
          <w:tab w:val="left" w:pos="525"/>
        </w:tabs>
        <w:spacing w:line="500" w:lineRule="exact"/>
        <w:ind w:left="0" w:firstLine="480" w:firstLineChars="200"/>
        <w:jc w:val="left"/>
        <w:rPr>
          <w:sz w:val="24"/>
        </w:rPr>
      </w:pPr>
      <w:r>
        <w:rPr>
          <w:sz w:val="24"/>
        </w:rPr>
        <w:t>委托人提供的其他资料。</w:t>
      </w:r>
    </w:p>
    <w:p>
      <w:pPr>
        <w:pStyle w:val="3"/>
        <w:spacing w:line="500" w:lineRule="exact"/>
        <w:ind w:firstLine="475" w:firstLineChars="197"/>
        <w:rPr>
          <w:rFonts w:ascii="Times New Roman" w:hAnsi="Times New Roman"/>
        </w:rPr>
      </w:pPr>
      <w:bookmarkStart w:id="23" w:name="_Toc23600"/>
      <w:r>
        <w:rPr>
          <w:rFonts w:ascii="Times New Roman" w:hAnsi="Times New Roman"/>
        </w:rPr>
        <w:t>七、评估方法</w:t>
      </w:r>
      <w:bookmarkEnd w:id="23"/>
    </w:p>
    <w:p>
      <w:pPr>
        <w:adjustRightInd w:val="0"/>
        <w:snapToGrid w:val="0"/>
        <w:spacing w:line="500" w:lineRule="exact"/>
        <w:ind w:firstLine="480" w:firstLineChars="200"/>
        <w:rPr>
          <w:sz w:val="24"/>
        </w:rPr>
      </w:pPr>
      <w:r>
        <w:rPr>
          <w:sz w:val="24"/>
        </w:rPr>
        <w:t>资产评估的基本方法包括市场法、收益法、</w:t>
      </w:r>
      <w:r>
        <w:rPr>
          <w:rFonts w:hint="eastAsia"/>
          <w:sz w:val="24"/>
          <w:lang w:val="en-US" w:eastAsia="zh-CN"/>
        </w:rPr>
        <w:t>资产基础法</w:t>
      </w:r>
      <w:r>
        <w:rPr>
          <w:sz w:val="24"/>
        </w:rPr>
        <w:t>。</w:t>
      </w:r>
    </w:p>
    <w:p>
      <w:pPr>
        <w:adjustRightInd w:val="0"/>
        <w:snapToGrid w:val="0"/>
        <w:spacing w:line="500" w:lineRule="exact"/>
        <w:ind w:firstLine="480" w:firstLineChars="200"/>
        <w:rPr>
          <w:sz w:val="24"/>
        </w:rPr>
      </w:pPr>
      <w:r>
        <w:rPr>
          <w:sz w:val="24"/>
        </w:rPr>
        <w:t>市场法是指在市场上选择若干相同或类似的资产或资产组作为参照物，针对各项价值影响因素，将被评估资产分别与参照物逐个进行价格差异的比较调整，再综合分析各项调整结果，确定被评估资产的评估值的一种资产评估方法。</w:t>
      </w:r>
    </w:p>
    <w:p>
      <w:pPr>
        <w:adjustRightInd w:val="0"/>
        <w:snapToGrid w:val="0"/>
        <w:spacing w:line="500" w:lineRule="exact"/>
        <w:ind w:firstLine="480" w:firstLineChars="200"/>
        <w:rPr>
          <w:sz w:val="24"/>
        </w:rPr>
      </w:pPr>
      <w:r>
        <w:rPr>
          <w:sz w:val="24"/>
        </w:rPr>
        <w:t>收益法是通过估算被评估资产在未来的预期收益，并采用适宜的折现率折算成现值，然后累加求和，得出被评估资产的评估值的一种资产评估方法。</w:t>
      </w:r>
    </w:p>
    <w:p>
      <w:pPr>
        <w:widowControl/>
        <w:spacing w:line="500" w:lineRule="exact"/>
        <w:ind w:firstLine="480" w:firstLineChars="200"/>
        <w:jc w:val="left"/>
        <w:rPr>
          <w:kern w:val="0"/>
          <w:sz w:val="24"/>
        </w:rPr>
      </w:pPr>
      <w:r>
        <w:rPr>
          <w:rFonts w:hint="eastAsia"/>
          <w:sz w:val="24"/>
          <w:lang w:val="en-US" w:eastAsia="zh-CN"/>
        </w:rPr>
        <w:t>资产基础法</w:t>
      </w:r>
      <w:r>
        <w:rPr>
          <w:sz w:val="24"/>
        </w:rPr>
        <w:t>是指在合理评估企业各项资产价值和负债的基础上确定的企业价值的各种评估具体方法的总称，</w:t>
      </w:r>
      <w:r>
        <w:rPr>
          <w:rFonts w:hint="eastAsia"/>
          <w:sz w:val="24"/>
          <w:lang w:val="en-US" w:eastAsia="zh-CN"/>
        </w:rPr>
        <w:t>资产基础法</w:t>
      </w:r>
      <w:r>
        <w:rPr>
          <w:sz w:val="24"/>
        </w:rPr>
        <w:t>的理论基础是</w:t>
      </w:r>
      <w:r>
        <w:rPr>
          <w:rFonts w:hint="eastAsia" w:ascii="宋体" w:hAnsi="宋体" w:eastAsia="宋体" w:cs="宋体"/>
          <w:sz w:val="24"/>
        </w:rPr>
        <w:t>“替代原则”</w:t>
      </w:r>
      <w:r>
        <w:rPr>
          <w:sz w:val="24"/>
        </w:rPr>
        <w:t>，即任何一个精明的潜在投资者，在购置一项资产时所愿意支付的价格不会超过建造一项与所购资产具有相同效用替代品所需的成本。因此，从历史和现实的角度出发，我们以评估基准日的经济条件下，重新购置该项资产耗费的成本费用为依据，采用资产加和法进行评估</w:t>
      </w:r>
      <w:r>
        <w:rPr>
          <w:kern w:val="0"/>
          <w:sz w:val="24"/>
        </w:rPr>
        <w:t>。</w:t>
      </w:r>
    </w:p>
    <w:p>
      <w:pPr>
        <w:adjustRightInd w:val="0"/>
        <w:snapToGrid w:val="0"/>
        <w:spacing w:line="500" w:lineRule="exact"/>
        <w:ind w:firstLine="480" w:firstLineChars="200"/>
        <w:rPr>
          <w:sz w:val="24"/>
        </w:rPr>
      </w:pPr>
      <w:r>
        <w:rPr>
          <w:sz w:val="24"/>
        </w:rPr>
        <w:t>由于在市场上难以找到足够数量的与委评资产或资产组可比的交易案例，因此本项目不适宜采用市场法</w:t>
      </w:r>
      <w:r>
        <w:rPr>
          <w:rFonts w:hint="eastAsia"/>
          <w:sz w:val="24"/>
          <w:lang w:val="en-US" w:eastAsia="zh-CN"/>
        </w:rPr>
        <w:t>进</w:t>
      </w:r>
      <w:r>
        <w:rPr>
          <w:sz w:val="24"/>
        </w:rPr>
        <w:t>行评估。</w:t>
      </w:r>
    </w:p>
    <w:p>
      <w:pPr>
        <w:adjustRightInd w:val="0"/>
        <w:snapToGrid w:val="0"/>
        <w:spacing w:line="500" w:lineRule="exact"/>
        <w:ind w:firstLine="480" w:firstLineChars="200"/>
        <w:rPr>
          <w:sz w:val="24"/>
        </w:rPr>
      </w:pPr>
      <w:r>
        <w:rPr>
          <w:sz w:val="24"/>
        </w:rPr>
        <w:t>评估人员根据委评资产特点及本次评估目的，确定本次评估采用</w:t>
      </w:r>
      <w:r>
        <w:rPr>
          <w:rFonts w:hint="eastAsia"/>
          <w:sz w:val="24"/>
          <w:lang w:val="en-US" w:eastAsia="zh-CN"/>
        </w:rPr>
        <w:t>资产基础法及收益法</w:t>
      </w:r>
      <w:r>
        <w:rPr>
          <w:sz w:val="24"/>
        </w:rPr>
        <w:t>评估计算公式及评估原理如下：</w:t>
      </w:r>
    </w:p>
    <w:p>
      <w:pPr>
        <w:adjustRightInd w:val="0"/>
        <w:snapToGrid w:val="0"/>
        <w:spacing w:line="500" w:lineRule="exact"/>
        <w:ind w:firstLine="482" w:firstLineChars="200"/>
        <w:rPr>
          <w:rFonts w:hint="eastAsia" w:eastAsia="宋体"/>
          <w:b/>
          <w:bCs/>
          <w:sz w:val="24"/>
          <w:lang w:eastAsia="zh-CN"/>
        </w:rPr>
      </w:pPr>
      <w:r>
        <w:rPr>
          <w:rFonts w:hint="eastAsia"/>
          <w:b/>
          <w:bCs/>
          <w:sz w:val="24"/>
          <w:lang w:eastAsia="zh-CN"/>
        </w:rPr>
        <w:t>（</w:t>
      </w:r>
      <w:r>
        <w:rPr>
          <w:rFonts w:hint="eastAsia"/>
          <w:b/>
          <w:bCs/>
          <w:sz w:val="24"/>
          <w:lang w:val="en-US" w:eastAsia="zh-CN"/>
        </w:rPr>
        <w:t>一</w:t>
      </w:r>
      <w:r>
        <w:rPr>
          <w:rFonts w:hint="eastAsia"/>
          <w:b/>
          <w:bCs/>
          <w:sz w:val="24"/>
          <w:lang w:eastAsia="zh-CN"/>
        </w:rPr>
        <w:t>）</w:t>
      </w:r>
      <w:r>
        <w:rPr>
          <w:rFonts w:hint="eastAsia"/>
          <w:b/>
          <w:bCs/>
          <w:sz w:val="24"/>
          <w:lang w:val="en-US" w:eastAsia="zh-CN"/>
        </w:rPr>
        <w:t>资产基础法</w:t>
      </w:r>
    </w:p>
    <w:p>
      <w:pPr>
        <w:adjustRightInd w:val="0"/>
        <w:snapToGrid w:val="0"/>
        <w:spacing w:line="500" w:lineRule="exact"/>
        <w:ind w:firstLine="482" w:firstLineChars="200"/>
        <w:rPr>
          <w:b/>
          <w:bCs/>
          <w:sz w:val="24"/>
        </w:rPr>
      </w:pPr>
      <w:r>
        <w:rPr>
          <w:b/>
          <w:bCs/>
          <w:sz w:val="24"/>
        </w:rPr>
        <w:t>A、房屋建筑物的评估</w:t>
      </w:r>
    </w:p>
    <w:p>
      <w:pPr>
        <w:adjustRightInd w:val="0"/>
        <w:snapToGrid w:val="0"/>
        <w:spacing w:line="500" w:lineRule="exact"/>
        <w:ind w:firstLine="480" w:firstLineChars="200"/>
        <w:rPr>
          <w:sz w:val="24"/>
        </w:rPr>
      </w:pPr>
      <w:r>
        <w:rPr>
          <w:rFonts w:hint="eastAsia"/>
          <w:sz w:val="24"/>
          <w:lang w:val="en-US" w:eastAsia="zh-CN"/>
        </w:rPr>
        <w:t>1、</w:t>
      </w:r>
      <w:r>
        <w:rPr>
          <w:sz w:val="24"/>
        </w:rPr>
        <w:t>评估值＝</w:t>
      </w:r>
      <w:r>
        <w:rPr>
          <w:sz w:val="24"/>
          <w:highlight w:val="none"/>
        </w:rPr>
        <w:t>重置成本</w:t>
      </w:r>
      <w:r>
        <w:rPr>
          <w:sz w:val="24"/>
        </w:rPr>
        <w:t>×综合成新率</w:t>
      </w:r>
      <w:bookmarkStart w:id="24" w:name="_Toc10714"/>
    </w:p>
    <w:p>
      <w:pPr>
        <w:adjustRightInd w:val="0"/>
        <w:snapToGrid w:val="0"/>
        <w:spacing w:line="500" w:lineRule="exact"/>
        <w:ind w:firstLine="480" w:firstLineChars="200"/>
        <w:rPr>
          <w:rFonts w:ascii="Times New Roman" w:hAnsi="Times New Roman"/>
          <w:color w:val="000000"/>
          <w:sz w:val="24"/>
          <w:szCs w:val="24"/>
        </w:rPr>
      </w:pPr>
      <w:r>
        <w:rPr>
          <w:rFonts w:hint="eastAsia" w:ascii="Times New Roman" w:hAnsi="Times New Roman"/>
          <w:color w:val="000000"/>
          <w:sz w:val="24"/>
          <w:szCs w:val="24"/>
          <w:lang w:val="en-US" w:eastAsia="zh-CN"/>
        </w:rPr>
        <w:t>资产基础法</w:t>
      </w:r>
      <w:r>
        <w:rPr>
          <w:rFonts w:ascii="Times New Roman" w:hAnsi="Times New Roman"/>
          <w:color w:val="000000"/>
          <w:sz w:val="24"/>
          <w:szCs w:val="24"/>
        </w:rPr>
        <w:t>的理论依据为生产费用原理及替代原理。</w:t>
      </w:r>
    </w:p>
    <w:p>
      <w:pPr>
        <w:pStyle w:val="5"/>
        <w:spacing w:line="500" w:lineRule="exact"/>
        <w:contextualSpacing/>
        <w:rPr>
          <w:rFonts w:ascii="Times New Roman" w:hAnsi="Times New Roman"/>
          <w:color w:val="000000"/>
          <w:szCs w:val="24"/>
        </w:rPr>
      </w:pPr>
      <w:r>
        <w:rPr>
          <w:rFonts w:hint="eastAsia" w:ascii="Times New Roman" w:hAnsi="Times New Roman"/>
          <w:color w:val="000000"/>
          <w:szCs w:val="24"/>
          <w:lang w:val="en-US" w:eastAsia="zh-CN"/>
        </w:rPr>
        <w:t>评估价值</w:t>
      </w:r>
      <w:r>
        <w:rPr>
          <w:rFonts w:ascii="Times New Roman" w:hAnsi="Times New Roman"/>
          <w:color w:val="000000"/>
          <w:szCs w:val="24"/>
        </w:rPr>
        <w:t>=建筑物重置成本-建筑物折旧+二次装修净值</w:t>
      </w:r>
    </w:p>
    <w:p>
      <w:pPr>
        <w:pStyle w:val="5"/>
        <w:spacing w:line="500" w:lineRule="exact"/>
        <w:contextualSpacing/>
        <w:rPr>
          <w:rFonts w:ascii="Times New Roman" w:hAnsi="Times New Roman"/>
          <w:color w:val="000000"/>
          <w:szCs w:val="24"/>
        </w:rPr>
      </w:pPr>
      <w:r>
        <w:rPr>
          <w:rFonts w:ascii="Times New Roman" w:hAnsi="Times New Roman"/>
          <w:color w:val="000000"/>
          <w:szCs w:val="24"/>
        </w:rPr>
        <w:t>建筑物重置成本＝建安工程费+专业费用+规费+基础设施建设费+公共配套设施建设费+管理费用+销售费用+投资利息+开发利润+销售税费</w:t>
      </w:r>
    </w:p>
    <w:p>
      <w:pPr>
        <w:numPr>
          <w:ilvl w:val="0"/>
          <w:numId w:val="8"/>
        </w:numPr>
        <w:tabs>
          <w:tab w:val="left" w:pos="992"/>
        </w:tabs>
        <w:spacing w:line="500" w:lineRule="exact"/>
        <w:ind w:firstLine="480" w:firstLineChars="200"/>
        <w:rPr>
          <w:sz w:val="24"/>
        </w:rPr>
      </w:pPr>
      <w:r>
        <w:rPr>
          <w:sz w:val="24"/>
        </w:rPr>
        <w:t>建筑物折旧</w:t>
      </w:r>
    </w:p>
    <w:p>
      <w:pPr>
        <w:pStyle w:val="5"/>
        <w:spacing w:line="500" w:lineRule="exact"/>
        <w:contextualSpacing/>
        <w:rPr>
          <w:rFonts w:ascii="Times New Roman" w:hAnsi="Times New Roman"/>
          <w:color w:val="000000"/>
          <w:szCs w:val="24"/>
        </w:rPr>
      </w:pPr>
      <w:r>
        <w:rPr>
          <w:rFonts w:ascii="Times New Roman" w:hAnsi="Times New Roman"/>
          <w:color w:val="000000"/>
          <w:szCs w:val="24"/>
        </w:rPr>
        <w:t>折旧是指各种原因造成的</w:t>
      </w:r>
      <w:r>
        <w:rPr>
          <w:rFonts w:hint="eastAsia" w:ascii="Times New Roman" w:hAnsi="Times New Roman"/>
          <w:color w:val="000000"/>
          <w:szCs w:val="24"/>
          <w:lang w:eastAsia="zh-CN"/>
        </w:rPr>
        <w:t>评估对象</w:t>
      </w:r>
      <w:r>
        <w:rPr>
          <w:rFonts w:ascii="Times New Roman" w:hAnsi="Times New Roman"/>
          <w:color w:val="000000"/>
          <w:szCs w:val="24"/>
        </w:rPr>
        <w:t>价值的实际减损。建筑物折旧分为物质折旧、功能折旧、外部折旧。</w:t>
      </w:r>
    </w:p>
    <w:p>
      <w:pPr>
        <w:tabs>
          <w:tab w:val="left" w:pos="992"/>
        </w:tabs>
        <w:spacing w:line="500" w:lineRule="exact"/>
        <w:ind w:firstLine="480" w:firstLineChars="200"/>
        <w:rPr>
          <w:sz w:val="24"/>
        </w:rPr>
      </w:pPr>
      <w:r>
        <w:rPr>
          <w:sz w:val="24"/>
        </w:rPr>
        <w:t>2.1 物质折旧</w:t>
      </w:r>
    </w:p>
    <w:p>
      <w:pPr>
        <w:tabs>
          <w:tab w:val="left" w:pos="992"/>
        </w:tabs>
        <w:spacing w:line="500" w:lineRule="exact"/>
        <w:ind w:firstLine="480" w:firstLineChars="200"/>
        <w:rPr>
          <w:sz w:val="24"/>
        </w:rPr>
      </w:pPr>
      <w:r>
        <w:rPr>
          <w:sz w:val="24"/>
        </w:rPr>
        <w:t>物质折旧是指建筑物在实体上的老化、磨损损坏造成的建筑物价值减损。</w:t>
      </w:r>
    </w:p>
    <w:p>
      <w:pPr>
        <w:tabs>
          <w:tab w:val="left" w:pos="992"/>
        </w:tabs>
        <w:spacing w:line="500" w:lineRule="exact"/>
        <w:ind w:firstLine="480" w:firstLineChars="200"/>
        <w:rPr>
          <w:sz w:val="24"/>
        </w:rPr>
      </w:pPr>
      <w:r>
        <w:rPr>
          <w:sz w:val="24"/>
        </w:rPr>
        <w:t>物质折</w:t>
      </w:r>
      <w:r>
        <w:rPr>
          <w:sz w:val="24"/>
          <w:highlight w:val="none"/>
        </w:rPr>
        <w:t>旧=</w:t>
      </w:r>
      <w:r>
        <w:rPr>
          <w:rFonts w:hint="eastAsia"/>
          <w:sz w:val="24"/>
          <w:highlight w:val="none"/>
        </w:rPr>
        <w:t>建筑物重置成本</w:t>
      </w:r>
      <w:r>
        <w:rPr>
          <w:sz w:val="24"/>
          <w:highlight w:val="none"/>
        </w:rPr>
        <w:t>×</w:t>
      </w:r>
      <w:r>
        <w:rPr>
          <w:sz w:val="24"/>
        </w:rPr>
        <w:t>（1-成新率）</w:t>
      </w:r>
    </w:p>
    <w:p>
      <w:pPr>
        <w:tabs>
          <w:tab w:val="left" w:pos="992"/>
        </w:tabs>
        <w:spacing w:line="500" w:lineRule="exact"/>
        <w:ind w:firstLine="480" w:firstLineChars="200"/>
        <w:rPr>
          <w:sz w:val="24"/>
        </w:rPr>
      </w:pPr>
      <w:r>
        <w:rPr>
          <w:sz w:val="24"/>
        </w:rPr>
        <w:t>成新率的确定</w:t>
      </w:r>
    </w:p>
    <w:p>
      <w:pPr>
        <w:tabs>
          <w:tab w:val="left" w:pos="992"/>
        </w:tabs>
        <w:spacing w:line="500" w:lineRule="exact"/>
        <w:ind w:firstLine="480" w:firstLineChars="200"/>
        <w:rPr>
          <w:sz w:val="24"/>
        </w:rPr>
      </w:pPr>
      <w:r>
        <w:rPr>
          <w:sz w:val="24"/>
        </w:rPr>
        <w:t>成新率是指</w:t>
      </w:r>
      <w:r>
        <w:rPr>
          <w:rFonts w:hint="eastAsia"/>
          <w:sz w:val="24"/>
          <w:lang w:eastAsia="zh-CN"/>
        </w:rPr>
        <w:t>评估基准日</w:t>
      </w:r>
      <w:r>
        <w:rPr>
          <w:sz w:val="24"/>
        </w:rPr>
        <w:t>房屋建筑物的完好状态与全新建筑物的比率。在评估过程中，我们首先注意到决定房屋剩余使用寿命以及成新率的主要因素是房屋的地基、梁、板、柱、墙体、屋面等主体结构，基于这一原因，在确定房屋成新率时，对构成房屋的基本因素即内在质量和次要因素即外观质量进行综合考虑。</w:t>
      </w:r>
    </w:p>
    <w:p>
      <w:pPr>
        <w:tabs>
          <w:tab w:val="left" w:pos="992"/>
        </w:tabs>
        <w:spacing w:line="500" w:lineRule="exact"/>
        <w:ind w:firstLine="480" w:firstLineChars="200"/>
        <w:rPr>
          <w:sz w:val="24"/>
        </w:rPr>
      </w:pPr>
      <w:r>
        <w:rPr>
          <w:sz w:val="24"/>
        </w:rPr>
        <w:t>对每项房屋建筑物成新率的评估，是在调查自竣工以来维修保养情况、查看各项建筑物主体结构和内外装修的现状基础上，结合使用直线折旧法和现场勘察打分法确定的成新综合确定成新率。</w:t>
      </w:r>
    </w:p>
    <w:p>
      <w:pPr>
        <w:tabs>
          <w:tab w:val="left" w:pos="992"/>
        </w:tabs>
        <w:spacing w:line="500" w:lineRule="exact"/>
        <w:ind w:firstLine="480" w:firstLineChars="200"/>
        <w:rPr>
          <w:sz w:val="24"/>
        </w:rPr>
      </w:pPr>
      <w:r>
        <w:rPr>
          <w:sz w:val="24"/>
        </w:rPr>
        <w:t>a.直线折旧法确定建筑物成新</w:t>
      </w:r>
    </w:p>
    <w:p>
      <w:pPr>
        <w:tabs>
          <w:tab w:val="left" w:pos="992"/>
        </w:tabs>
        <w:spacing w:line="500" w:lineRule="exact"/>
        <w:ind w:firstLine="480" w:firstLineChars="200"/>
        <w:rPr>
          <w:sz w:val="24"/>
        </w:rPr>
      </w:pPr>
      <w:r>
        <w:rPr>
          <w:sz w:val="24"/>
        </w:rPr>
        <w:t>由于房产结构和用途不同，其经济寿命不同，用直线法测算的成新率亦不同。根据直线法计算公式：成新率＝1－（1－残值率）×建筑物有效年龄÷建筑物经济寿命</w:t>
      </w:r>
    </w:p>
    <w:p>
      <w:pPr>
        <w:tabs>
          <w:tab w:val="left" w:pos="992"/>
        </w:tabs>
        <w:spacing w:line="500" w:lineRule="exact"/>
        <w:ind w:firstLine="480" w:firstLineChars="200"/>
        <w:rPr>
          <w:sz w:val="24"/>
        </w:rPr>
      </w:pPr>
      <w:r>
        <w:rPr>
          <w:sz w:val="24"/>
        </w:rPr>
        <w:t>b、现场勘察打分法</w:t>
      </w:r>
    </w:p>
    <w:p>
      <w:pPr>
        <w:tabs>
          <w:tab w:val="left" w:pos="992"/>
        </w:tabs>
        <w:spacing w:line="500" w:lineRule="exact"/>
        <w:ind w:firstLine="480" w:firstLineChars="200"/>
        <w:rPr>
          <w:sz w:val="24"/>
        </w:rPr>
      </w:pPr>
      <w:r>
        <w:rPr>
          <w:sz w:val="24"/>
        </w:rPr>
        <w:t>根据1984年11月8日原城乡建设环境保护部发布的《房屋完损等级评定标准》房屋完损等级根据房屋的结构、装修、设备三个组成部分的各个项目的完好、损坏程度划分五类，见下表：</w:t>
      </w:r>
    </w:p>
    <w:p>
      <w:pPr>
        <w:pStyle w:val="4"/>
        <w:tabs>
          <w:tab w:val="center" w:pos="4440"/>
          <w:tab w:val="left" w:pos="6480"/>
        </w:tabs>
        <w:spacing w:line="480" w:lineRule="exact"/>
        <w:ind w:firstLine="562"/>
        <w:contextualSpacing/>
        <w:jc w:val="center"/>
        <w:rPr>
          <w:b/>
          <w:sz w:val="28"/>
        </w:rPr>
      </w:pPr>
      <w:r>
        <w:rPr>
          <w:b/>
          <w:sz w:val="28"/>
        </w:rPr>
        <w:t xml:space="preserve"> 房屋成新评定说明表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5403"/>
        <w:gridCol w:w="1194"/>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19" w:type="dxa"/>
            <w:noWrap w:val="0"/>
            <w:vAlign w:val="center"/>
          </w:tcPr>
          <w:p>
            <w:pPr>
              <w:pStyle w:val="4"/>
              <w:spacing w:line="240" w:lineRule="exact"/>
              <w:ind w:firstLine="0"/>
              <w:contextualSpacing/>
              <w:jc w:val="center"/>
              <w:rPr>
                <w:sz w:val="18"/>
                <w:szCs w:val="18"/>
              </w:rPr>
            </w:pPr>
            <w:r>
              <w:rPr>
                <w:sz w:val="18"/>
                <w:szCs w:val="18"/>
              </w:rPr>
              <w:t>完损等级</w:t>
            </w:r>
          </w:p>
        </w:tc>
        <w:tc>
          <w:tcPr>
            <w:tcW w:w="5403" w:type="dxa"/>
            <w:noWrap w:val="0"/>
            <w:vAlign w:val="center"/>
          </w:tcPr>
          <w:p>
            <w:pPr>
              <w:pStyle w:val="4"/>
              <w:spacing w:line="240" w:lineRule="exact"/>
              <w:ind w:firstLine="360"/>
              <w:contextualSpacing/>
              <w:jc w:val="center"/>
              <w:rPr>
                <w:sz w:val="18"/>
                <w:szCs w:val="18"/>
              </w:rPr>
            </w:pPr>
            <w:r>
              <w:rPr>
                <w:sz w:val="18"/>
                <w:szCs w:val="18"/>
              </w:rPr>
              <w:t>成新评定说明</w:t>
            </w:r>
          </w:p>
        </w:tc>
        <w:tc>
          <w:tcPr>
            <w:tcW w:w="1194" w:type="dxa"/>
            <w:noWrap w:val="0"/>
            <w:vAlign w:val="center"/>
          </w:tcPr>
          <w:p>
            <w:pPr>
              <w:pStyle w:val="4"/>
              <w:spacing w:line="240" w:lineRule="exact"/>
              <w:ind w:firstLine="0"/>
              <w:contextualSpacing/>
              <w:jc w:val="center"/>
              <w:rPr>
                <w:sz w:val="18"/>
                <w:szCs w:val="18"/>
              </w:rPr>
            </w:pPr>
            <w:r>
              <w:rPr>
                <w:sz w:val="18"/>
                <w:szCs w:val="18"/>
              </w:rPr>
              <w:t>新旧程度</w:t>
            </w:r>
          </w:p>
        </w:tc>
        <w:tc>
          <w:tcPr>
            <w:tcW w:w="1194" w:type="dxa"/>
            <w:noWrap w:val="0"/>
            <w:vAlign w:val="center"/>
          </w:tcPr>
          <w:p>
            <w:pPr>
              <w:pStyle w:val="4"/>
              <w:spacing w:line="240" w:lineRule="exact"/>
              <w:ind w:firstLine="0"/>
              <w:contextualSpacing/>
              <w:jc w:val="center"/>
              <w:rPr>
                <w:sz w:val="18"/>
                <w:szCs w:val="18"/>
              </w:rPr>
            </w:pPr>
            <w:r>
              <w:rPr>
                <w:sz w:val="18"/>
                <w:szCs w:val="18"/>
              </w:rPr>
              <w:t>折余率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19" w:type="dxa"/>
            <w:vMerge w:val="restart"/>
            <w:noWrap w:val="0"/>
            <w:vAlign w:val="center"/>
          </w:tcPr>
          <w:p>
            <w:pPr>
              <w:pStyle w:val="4"/>
              <w:spacing w:line="240" w:lineRule="exact"/>
              <w:ind w:firstLine="0"/>
              <w:contextualSpacing/>
              <w:jc w:val="center"/>
              <w:rPr>
                <w:sz w:val="18"/>
                <w:szCs w:val="18"/>
              </w:rPr>
            </w:pPr>
            <w:r>
              <w:rPr>
                <w:sz w:val="18"/>
                <w:szCs w:val="18"/>
              </w:rPr>
              <w:t>完好房</w:t>
            </w:r>
          </w:p>
        </w:tc>
        <w:tc>
          <w:tcPr>
            <w:tcW w:w="5403" w:type="dxa"/>
            <w:vMerge w:val="restart"/>
            <w:noWrap w:val="0"/>
            <w:vAlign w:val="center"/>
          </w:tcPr>
          <w:p>
            <w:pPr>
              <w:pStyle w:val="4"/>
              <w:spacing w:line="240" w:lineRule="exact"/>
              <w:ind w:firstLine="360"/>
              <w:contextualSpacing/>
              <w:rPr>
                <w:sz w:val="18"/>
                <w:szCs w:val="18"/>
              </w:rPr>
            </w:pPr>
            <w:r>
              <w:rPr>
                <w:sz w:val="18"/>
                <w:szCs w:val="18"/>
              </w:rPr>
              <w:t>结构状况完全可靠，整体性好，房屋或板缝不露水，装修设备完整、基本无损的房屋，虽存在一定的陈旧现象或个别构件有轻微损坏但在充许值之内，不存在安全居住和正常使用的，通过小修即能修复的房屋。</w:t>
            </w:r>
          </w:p>
        </w:tc>
        <w:tc>
          <w:tcPr>
            <w:tcW w:w="1194" w:type="dxa"/>
            <w:noWrap w:val="0"/>
            <w:vAlign w:val="center"/>
          </w:tcPr>
          <w:p>
            <w:pPr>
              <w:pStyle w:val="4"/>
              <w:spacing w:line="240" w:lineRule="exact"/>
              <w:ind w:firstLine="0"/>
              <w:contextualSpacing/>
              <w:jc w:val="center"/>
              <w:rPr>
                <w:sz w:val="18"/>
                <w:szCs w:val="18"/>
              </w:rPr>
            </w:pPr>
            <w:r>
              <w:rPr>
                <w:sz w:val="18"/>
                <w:szCs w:val="18"/>
              </w:rPr>
              <w:t>十成新</w:t>
            </w:r>
          </w:p>
        </w:tc>
        <w:tc>
          <w:tcPr>
            <w:tcW w:w="1194" w:type="dxa"/>
            <w:noWrap w:val="0"/>
            <w:vAlign w:val="center"/>
          </w:tcPr>
          <w:p>
            <w:pPr>
              <w:pStyle w:val="4"/>
              <w:spacing w:line="240" w:lineRule="exact"/>
              <w:ind w:firstLine="0"/>
              <w:contextualSpacing/>
              <w:jc w:val="center"/>
              <w:rPr>
                <w:sz w:val="18"/>
                <w:szCs w:val="18"/>
              </w:rPr>
            </w:pPr>
            <w:r>
              <w:rPr>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19" w:type="dxa"/>
            <w:vMerge w:val="continue"/>
            <w:noWrap w:val="0"/>
            <w:vAlign w:val="center"/>
          </w:tcPr>
          <w:p>
            <w:pPr>
              <w:pStyle w:val="4"/>
              <w:spacing w:line="240" w:lineRule="exact"/>
              <w:ind w:firstLine="360"/>
              <w:contextualSpacing/>
              <w:jc w:val="center"/>
              <w:rPr>
                <w:sz w:val="18"/>
                <w:szCs w:val="18"/>
              </w:rPr>
            </w:pPr>
          </w:p>
        </w:tc>
        <w:tc>
          <w:tcPr>
            <w:tcW w:w="5403" w:type="dxa"/>
            <w:vMerge w:val="continue"/>
            <w:noWrap w:val="0"/>
            <w:vAlign w:val="center"/>
          </w:tcPr>
          <w:p>
            <w:pPr>
              <w:pStyle w:val="4"/>
              <w:spacing w:line="240" w:lineRule="exact"/>
              <w:ind w:firstLine="360"/>
              <w:contextualSpacing/>
              <w:rPr>
                <w:sz w:val="18"/>
                <w:szCs w:val="18"/>
              </w:rPr>
            </w:pPr>
          </w:p>
        </w:tc>
        <w:tc>
          <w:tcPr>
            <w:tcW w:w="1194" w:type="dxa"/>
            <w:noWrap w:val="0"/>
            <w:vAlign w:val="center"/>
          </w:tcPr>
          <w:p>
            <w:pPr>
              <w:pStyle w:val="4"/>
              <w:spacing w:line="240" w:lineRule="exact"/>
              <w:ind w:firstLine="0"/>
              <w:contextualSpacing/>
              <w:jc w:val="center"/>
              <w:rPr>
                <w:sz w:val="18"/>
                <w:szCs w:val="18"/>
              </w:rPr>
            </w:pPr>
            <w:r>
              <w:rPr>
                <w:sz w:val="18"/>
                <w:szCs w:val="18"/>
              </w:rPr>
              <w:t>九成新</w:t>
            </w:r>
          </w:p>
        </w:tc>
        <w:tc>
          <w:tcPr>
            <w:tcW w:w="1194" w:type="dxa"/>
            <w:noWrap w:val="0"/>
            <w:vAlign w:val="center"/>
          </w:tcPr>
          <w:p>
            <w:pPr>
              <w:pStyle w:val="4"/>
              <w:spacing w:line="240" w:lineRule="exact"/>
              <w:ind w:firstLine="0"/>
              <w:contextualSpacing/>
              <w:jc w:val="center"/>
              <w:rPr>
                <w:sz w:val="18"/>
                <w:szCs w:val="18"/>
              </w:rPr>
            </w:pPr>
            <w:r>
              <w:rPr>
                <w:sz w:val="18"/>
                <w:szCs w:val="18"/>
              </w:rPr>
              <w:t>90-99％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19" w:type="dxa"/>
            <w:vMerge w:val="continue"/>
            <w:noWrap w:val="0"/>
            <w:vAlign w:val="center"/>
          </w:tcPr>
          <w:p>
            <w:pPr>
              <w:pStyle w:val="4"/>
              <w:spacing w:line="240" w:lineRule="exact"/>
              <w:ind w:firstLine="360"/>
              <w:contextualSpacing/>
              <w:jc w:val="center"/>
              <w:rPr>
                <w:sz w:val="18"/>
                <w:szCs w:val="18"/>
              </w:rPr>
            </w:pPr>
          </w:p>
        </w:tc>
        <w:tc>
          <w:tcPr>
            <w:tcW w:w="5403" w:type="dxa"/>
            <w:vMerge w:val="continue"/>
            <w:noWrap w:val="0"/>
            <w:vAlign w:val="center"/>
          </w:tcPr>
          <w:p>
            <w:pPr>
              <w:pStyle w:val="4"/>
              <w:spacing w:line="240" w:lineRule="exact"/>
              <w:ind w:firstLine="360"/>
              <w:contextualSpacing/>
              <w:rPr>
                <w:sz w:val="18"/>
                <w:szCs w:val="18"/>
              </w:rPr>
            </w:pPr>
          </w:p>
        </w:tc>
        <w:tc>
          <w:tcPr>
            <w:tcW w:w="1194" w:type="dxa"/>
            <w:noWrap w:val="0"/>
            <w:vAlign w:val="center"/>
          </w:tcPr>
          <w:p>
            <w:pPr>
              <w:pStyle w:val="4"/>
              <w:spacing w:line="240" w:lineRule="exact"/>
              <w:ind w:firstLine="0"/>
              <w:contextualSpacing/>
              <w:jc w:val="center"/>
              <w:rPr>
                <w:sz w:val="18"/>
                <w:szCs w:val="18"/>
              </w:rPr>
            </w:pPr>
            <w:r>
              <w:rPr>
                <w:sz w:val="18"/>
                <w:szCs w:val="18"/>
              </w:rPr>
              <w:t>八成新</w:t>
            </w:r>
          </w:p>
        </w:tc>
        <w:tc>
          <w:tcPr>
            <w:tcW w:w="1194" w:type="dxa"/>
            <w:noWrap w:val="0"/>
            <w:vAlign w:val="center"/>
          </w:tcPr>
          <w:p>
            <w:pPr>
              <w:pStyle w:val="4"/>
              <w:spacing w:line="240" w:lineRule="exact"/>
              <w:ind w:firstLine="0"/>
              <w:contextualSpacing/>
              <w:jc w:val="center"/>
              <w:rPr>
                <w:sz w:val="18"/>
                <w:szCs w:val="18"/>
              </w:rPr>
            </w:pPr>
            <w:r>
              <w:rPr>
                <w:sz w:val="18"/>
                <w:szCs w:val="18"/>
              </w:rPr>
              <w:t>80-89％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19" w:type="dxa"/>
            <w:vMerge w:val="restart"/>
            <w:noWrap w:val="0"/>
            <w:vAlign w:val="center"/>
          </w:tcPr>
          <w:p>
            <w:pPr>
              <w:pStyle w:val="4"/>
              <w:spacing w:line="240" w:lineRule="exact"/>
              <w:ind w:firstLine="0"/>
              <w:contextualSpacing/>
              <w:jc w:val="center"/>
              <w:rPr>
                <w:sz w:val="18"/>
                <w:szCs w:val="18"/>
              </w:rPr>
            </w:pPr>
            <w:r>
              <w:rPr>
                <w:sz w:val="18"/>
                <w:szCs w:val="18"/>
              </w:rPr>
              <w:t>基本完好房</w:t>
            </w:r>
          </w:p>
        </w:tc>
        <w:tc>
          <w:tcPr>
            <w:tcW w:w="5403" w:type="dxa"/>
            <w:vMerge w:val="restart"/>
            <w:noWrap w:val="0"/>
            <w:vAlign w:val="center"/>
          </w:tcPr>
          <w:p>
            <w:pPr>
              <w:pStyle w:val="4"/>
              <w:spacing w:line="240" w:lineRule="exact"/>
              <w:ind w:firstLine="360"/>
              <w:contextualSpacing/>
              <w:rPr>
                <w:sz w:val="18"/>
                <w:szCs w:val="18"/>
              </w:rPr>
            </w:pPr>
            <w:r>
              <w:rPr>
                <w:sz w:val="18"/>
                <w:szCs w:val="18"/>
              </w:rPr>
              <w:t>结构安全可靠，个别部件的损坏程度稍有超过设计充许但已稳定，房屋局面渗漏，装修、设备基本良好，个别部位有影响使用的损坏，通过在原有构件或部位上的修补即可恢复使用功能的房屋。</w:t>
            </w:r>
          </w:p>
        </w:tc>
        <w:tc>
          <w:tcPr>
            <w:tcW w:w="1194" w:type="dxa"/>
            <w:noWrap w:val="0"/>
            <w:vAlign w:val="center"/>
          </w:tcPr>
          <w:p>
            <w:pPr>
              <w:pStyle w:val="4"/>
              <w:spacing w:line="240" w:lineRule="exact"/>
              <w:ind w:firstLine="0"/>
              <w:contextualSpacing/>
              <w:jc w:val="center"/>
              <w:rPr>
                <w:sz w:val="18"/>
                <w:szCs w:val="18"/>
              </w:rPr>
            </w:pPr>
            <w:r>
              <w:rPr>
                <w:sz w:val="18"/>
                <w:szCs w:val="18"/>
              </w:rPr>
              <w:t>七成新</w:t>
            </w:r>
          </w:p>
        </w:tc>
        <w:tc>
          <w:tcPr>
            <w:tcW w:w="1194" w:type="dxa"/>
            <w:noWrap w:val="0"/>
            <w:vAlign w:val="center"/>
          </w:tcPr>
          <w:p>
            <w:pPr>
              <w:pStyle w:val="4"/>
              <w:spacing w:line="240" w:lineRule="exact"/>
              <w:ind w:firstLine="0"/>
              <w:contextualSpacing/>
              <w:jc w:val="center"/>
              <w:rPr>
                <w:sz w:val="18"/>
                <w:szCs w:val="18"/>
              </w:rPr>
            </w:pPr>
            <w:r>
              <w:rPr>
                <w:sz w:val="18"/>
                <w:szCs w:val="18"/>
              </w:rPr>
              <w:t>70-79％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19" w:type="dxa"/>
            <w:vMerge w:val="continue"/>
            <w:noWrap w:val="0"/>
            <w:vAlign w:val="center"/>
          </w:tcPr>
          <w:p>
            <w:pPr>
              <w:pStyle w:val="4"/>
              <w:spacing w:line="240" w:lineRule="exact"/>
              <w:ind w:firstLine="360"/>
              <w:contextualSpacing/>
              <w:jc w:val="center"/>
              <w:rPr>
                <w:sz w:val="18"/>
                <w:szCs w:val="18"/>
              </w:rPr>
            </w:pPr>
          </w:p>
        </w:tc>
        <w:tc>
          <w:tcPr>
            <w:tcW w:w="5403" w:type="dxa"/>
            <w:vMerge w:val="continue"/>
            <w:noWrap w:val="0"/>
            <w:vAlign w:val="center"/>
          </w:tcPr>
          <w:p>
            <w:pPr>
              <w:pStyle w:val="4"/>
              <w:spacing w:line="240" w:lineRule="exact"/>
              <w:ind w:firstLine="360"/>
              <w:contextualSpacing/>
              <w:rPr>
                <w:sz w:val="18"/>
                <w:szCs w:val="18"/>
              </w:rPr>
            </w:pPr>
          </w:p>
        </w:tc>
        <w:tc>
          <w:tcPr>
            <w:tcW w:w="1194" w:type="dxa"/>
            <w:noWrap w:val="0"/>
            <w:vAlign w:val="center"/>
          </w:tcPr>
          <w:p>
            <w:pPr>
              <w:pStyle w:val="4"/>
              <w:spacing w:line="240" w:lineRule="exact"/>
              <w:ind w:firstLine="0"/>
              <w:contextualSpacing/>
              <w:jc w:val="center"/>
              <w:rPr>
                <w:sz w:val="18"/>
                <w:szCs w:val="18"/>
              </w:rPr>
            </w:pPr>
            <w:r>
              <w:rPr>
                <w:sz w:val="18"/>
                <w:szCs w:val="18"/>
              </w:rPr>
              <w:t>六成新</w:t>
            </w:r>
          </w:p>
        </w:tc>
        <w:tc>
          <w:tcPr>
            <w:tcW w:w="1194" w:type="dxa"/>
            <w:noWrap w:val="0"/>
            <w:vAlign w:val="center"/>
          </w:tcPr>
          <w:p>
            <w:pPr>
              <w:pStyle w:val="4"/>
              <w:spacing w:line="240" w:lineRule="exact"/>
              <w:ind w:firstLine="0"/>
              <w:contextualSpacing/>
              <w:jc w:val="center"/>
              <w:rPr>
                <w:sz w:val="18"/>
                <w:szCs w:val="18"/>
              </w:rPr>
            </w:pPr>
            <w:r>
              <w:rPr>
                <w:sz w:val="18"/>
                <w:szCs w:val="18"/>
              </w:rPr>
              <w:t>60-69％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19" w:type="dxa"/>
            <w:vMerge w:val="restart"/>
            <w:noWrap w:val="0"/>
            <w:vAlign w:val="center"/>
          </w:tcPr>
          <w:p>
            <w:pPr>
              <w:pStyle w:val="4"/>
              <w:spacing w:line="240" w:lineRule="exact"/>
              <w:ind w:firstLine="0"/>
              <w:contextualSpacing/>
              <w:jc w:val="center"/>
              <w:rPr>
                <w:sz w:val="18"/>
                <w:szCs w:val="18"/>
              </w:rPr>
            </w:pPr>
            <w:r>
              <w:rPr>
                <w:sz w:val="18"/>
                <w:szCs w:val="18"/>
              </w:rPr>
              <w:t>一般损坏房</w:t>
            </w:r>
          </w:p>
        </w:tc>
        <w:tc>
          <w:tcPr>
            <w:tcW w:w="5403" w:type="dxa"/>
            <w:vMerge w:val="restart"/>
            <w:noWrap w:val="0"/>
            <w:vAlign w:val="center"/>
          </w:tcPr>
          <w:p>
            <w:pPr>
              <w:pStyle w:val="4"/>
              <w:spacing w:line="240" w:lineRule="exact"/>
              <w:ind w:firstLine="360"/>
              <w:contextualSpacing/>
              <w:rPr>
                <w:sz w:val="18"/>
                <w:szCs w:val="18"/>
              </w:rPr>
            </w:pPr>
            <w:r>
              <w:rPr>
                <w:sz w:val="18"/>
                <w:szCs w:val="18"/>
              </w:rPr>
              <w:t>部分结构构件变形、裂缝、腐蚀或老化，强度不足，存在危险隐患，屋面或板缝局部露雨，外装修和设备局部损坏的房屋。</w:t>
            </w:r>
          </w:p>
        </w:tc>
        <w:tc>
          <w:tcPr>
            <w:tcW w:w="1194" w:type="dxa"/>
            <w:noWrap w:val="0"/>
            <w:vAlign w:val="center"/>
          </w:tcPr>
          <w:p>
            <w:pPr>
              <w:pStyle w:val="4"/>
              <w:spacing w:line="240" w:lineRule="exact"/>
              <w:ind w:firstLine="0"/>
              <w:contextualSpacing/>
              <w:jc w:val="center"/>
              <w:rPr>
                <w:sz w:val="18"/>
                <w:szCs w:val="18"/>
              </w:rPr>
            </w:pPr>
            <w:r>
              <w:rPr>
                <w:sz w:val="18"/>
                <w:szCs w:val="18"/>
              </w:rPr>
              <w:t>五成新</w:t>
            </w:r>
          </w:p>
        </w:tc>
        <w:tc>
          <w:tcPr>
            <w:tcW w:w="1194" w:type="dxa"/>
            <w:noWrap w:val="0"/>
            <w:vAlign w:val="center"/>
          </w:tcPr>
          <w:p>
            <w:pPr>
              <w:pStyle w:val="4"/>
              <w:spacing w:line="240" w:lineRule="exact"/>
              <w:ind w:firstLine="0"/>
              <w:contextualSpacing/>
              <w:jc w:val="center"/>
              <w:rPr>
                <w:sz w:val="18"/>
                <w:szCs w:val="18"/>
              </w:rPr>
            </w:pPr>
            <w:r>
              <w:rPr>
                <w:sz w:val="18"/>
                <w:szCs w:val="18"/>
              </w:rPr>
              <w:t>50-59％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19" w:type="dxa"/>
            <w:vMerge w:val="continue"/>
            <w:noWrap w:val="0"/>
            <w:vAlign w:val="center"/>
          </w:tcPr>
          <w:p>
            <w:pPr>
              <w:pStyle w:val="4"/>
              <w:spacing w:line="240" w:lineRule="exact"/>
              <w:ind w:firstLine="360"/>
              <w:contextualSpacing/>
              <w:jc w:val="center"/>
              <w:rPr>
                <w:sz w:val="18"/>
                <w:szCs w:val="18"/>
              </w:rPr>
            </w:pPr>
          </w:p>
        </w:tc>
        <w:tc>
          <w:tcPr>
            <w:tcW w:w="5403" w:type="dxa"/>
            <w:vMerge w:val="continue"/>
            <w:noWrap w:val="0"/>
            <w:vAlign w:val="center"/>
          </w:tcPr>
          <w:p>
            <w:pPr>
              <w:pStyle w:val="4"/>
              <w:spacing w:line="240" w:lineRule="exact"/>
              <w:ind w:firstLine="360"/>
              <w:contextualSpacing/>
              <w:rPr>
                <w:sz w:val="18"/>
                <w:szCs w:val="18"/>
              </w:rPr>
            </w:pPr>
          </w:p>
        </w:tc>
        <w:tc>
          <w:tcPr>
            <w:tcW w:w="1194" w:type="dxa"/>
            <w:noWrap w:val="0"/>
            <w:vAlign w:val="center"/>
          </w:tcPr>
          <w:p>
            <w:pPr>
              <w:pStyle w:val="4"/>
              <w:spacing w:line="240" w:lineRule="exact"/>
              <w:ind w:firstLine="0"/>
              <w:contextualSpacing/>
              <w:jc w:val="center"/>
              <w:rPr>
                <w:sz w:val="18"/>
                <w:szCs w:val="18"/>
              </w:rPr>
            </w:pPr>
            <w:r>
              <w:rPr>
                <w:sz w:val="18"/>
                <w:szCs w:val="18"/>
              </w:rPr>
              <w:t>四成新</w:t>
            </w:r>
          </w:p>
        </w:tc>
        <w:tc>
          <w:tcPr>
            <w:tcW w:w="1194" w:type="dxa"/>
            <w:noWrap w:val="0"/>
            <w:vAlign w:val="center"/>
          </w:tcPr>
          <w:p>
            <w:pPr>
              <w:pStyle w:val="4"/>
              <w:spacing w:line="240" w:lineRule="exact"/>
              <w:ind w:firstLine="0"/>
              <w:contextualSpacing/>
              <w:jc w:val="center"/>
              <w:rPr>
                <w:sz w:val="18"/>
                <w:szCs w:val="18"/>
              </w:rPr>
            </w:pPr>
            <w:r>
              <w:rPr>
                <w:sz w:val="18"/>
                <w:szCs w:val="18"/>
              </w:rPr>
              <w:t>40-49％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19" w:type="dxa"/>
            <w:noWrap w:val="0"/>
            <w:vAlign w:val="center"/>
          </w:tcPr>
          <w:p>
            <w:pPr>
              <w:pStyle w:val="4"/>
              <w:spacing w:line="240" w:lineRule="exact"/>
              <w:ind w:firstLine="0"/>
              <w:contextualSpacing/>
              <w:jc w:val="center"/>
              <w:rPr>
                <w:sz w:val="18"/>
                <w:szCs w:val="18"/>
              </w:rPr>
            </w:pPr>
            <w:r>
              <w:rPr>
                <w:sz w:val="18"/>
                <w:szCs w:val="18"/>
              </w:rPr>
              <w:t>严重损坏房</w:t>
            </w:r>
          </w:p>
        </w:tc>
        <w:tc>
          <w:tcPr>
            <w:tcW w:w="5403" w:type="dxa"/>
            <w:noWrap w:val="0"/>
            <w:vAlign w:val="center"/>
          </w:tcPr>
          <w:p>
            <w:pPr>
              <w:pStyle w:val="4"/>
              <w:spacing w:line="240" w:lineRule="exact"/>
              <w:ind w:firstLine="360"/>
              <w:contextualSpacing/>
              <w:rPr>
                <w:sz w:val="18"/>
                <w:szCs w:val="18"/>
              </w:rPr>
            </w:pPr>
            <w:r>
              <w:rPr>
                <w:sz w:val="18"/>
                <w:szCs w:val="18"/>
              </w:rPr>
              <w:t>部分结构构件严重倾斜、开裂、变形或强度不够，个别构件已处在危险状态，屋面或板缝严重漏雨，内外装修、设备明显损毁、残破、存在局部危险的房屋。</w:t>
            </w:r>
          </w:p>
        </w:tc>
        <w:tc>
          <w:tcPr>
            <w:tcW w:w="1194" w:type="dxa"/>
            <w:noWrap w:val="0"/>
            <w:vAlign w:val="center"/>
          </w:tcPr>
          <w:p>
            <w:pPr>
              <w:pStyle w:val="4"/>
              <w:spacing w:line="240" w:lineRule="exact"/>
              <w:ind w:firstLine="0"/>
              <w:contextualSpacing/>
              <w:jc w:val="center"/>
              <w:rPr>
                <w:sz w:val="18"/>
                <w:szCs w:val="18"/>
              </w:rPr>
            </w:pPr>
            <w:r>
              <w:rPr>
                <w:sz w:val="18"/>
                <w:szCs w:val="18"/>
              </w:rPr>
              <w:t>三成新</w:t>
            </w:r>
          </w:p>
        </w:tc>
        <w:tc>
          <w:tcPr>
            <w:tcW w:w="1194" w:type="dxa"/>
            <w:noWrap w:val="0"/>
            <w:vAlign w:val="center"/>
          </w:tcPr>
          <w:p>
            <w:pPr>
              <w:pStyle w:val="4"/>
              <w:spacing w:line="240" w:lineRule="exact"/>
              <w:ind w:firstLine="0"/>
              <w:contextualSpacing/>
              <w:jc w:val="center"/>
              <w:rPr>
                <w:sz w:val="18"/>
                <w:szCs w:val="18"/>
              </w:rPr>
            </w:pPr>
            <w:r>
              <w:rPr>
                <w:sz w:val="18"/>
                <w:szCs w:val="18"/>
              </w:rPr>
              <w:t>30-39％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119" w:type="dxa"/>
            <w:noWrap w:val="0"/>
            <w:vAlign w:val="center"/>
          </w:tcPr>
          <w:p>
            <w:pPr>
              <w:pStyle w:val="4"/>
              <w:spacing w:line="240" w:lineRule="exact"/>
              <w:ind w:firstLine="0"/>
              <w:contextualSpacing/>
              <w:jc w:val="center"/>
              <w:rPr>
                <w:sz w:val="18"/>
                <w:szCs w:val="18"/>
              </w:rPr>
            </w:pPr>
            <w:r>
              <w:rPr>
                <w:sz w:val="18"/>
                <w:szCs w:val="18"/>
              </w:rPr>
              <w:t>危险房</w:t>
            </w:r>
          </w:p>
        </w:tc>
        <w:tc>
          <w:tcPr>
            <w:tcW w:w="5403" w:type="dxa"/>
            <w:noWrap w:val="0"/>
            <w:vAlign w:val="center"/>
          </w:tcPr>
          <w:p>
            <w:pPr>
              <w:pStyle w:val="4"/>
              <w:spacing w:line="240" w:lineRule="exact"/>
              <w:ind w:firstLine="360"/>
              <w:contextualSpacing/>
              <w:rPr>
                <w:sz w:val="18"/>
                <w:szCs w:val="18"/>
              </w:rPr>
            </w:pPr>
            <w:r>
              <w:rPr>
                <w:sz w:val="18"/>
                <w:szCs w:val="18"/>
              </w:rPr>
              <w:t>主体结构构件的强度严重不足，稳定性很差，随时有倒塌的可能，采用局部的加固修理仍不能保证安全，需要拆除、翻修或大修的整栋房屋。</w:t>
            </w:r>
          </w:p>
        </w:tc>
        <w:tc>
          <w:tcPr>
            <w:tcW w:w="1194" w:type="dxa"/>
            <w:noWrap w:val="0"/>
            <w:vAlign w:val="center"/>
          </w:tcPr>
          <w:p>
            <w:pPr>
              <w:pStyle w:val="4"/>
              <w:spacing w:line="240" w:lineRule="exact"/>
              <w:ind w:firstLine="0"/>
              <w:contextualSpacing/>
              <w:jc w:val="center"/>
              <w:rPr>
                <w:sz w:val="18"/>
                <w:szCs w:val="18"/>
              </w:rPr>
            </w:pPr>
            <w:r>
              <w:rPr>
                <w:sz w:val="18"/>
                <w:szCs w:val="18"/>
              </w:rPr>
              <w:t>不足三成</w:t>
            </w:r>
          </w:p>
        </w:tc>
        <w:tc>
          <w:tcPr>
            <w:tcW w:w="1194" w:type="dxa"/>
            <w:noWrap w:val="0"/>
            <w:vAlign w:val="center"/>
          </w:tcPr>
          <w:p>
            <w:pPr>
              <w:pStyle w:val="4"/>
              <w:spacing w:line="240" w:lineRule="exact"/>
              <w:ind w:firstLine="0"/>
              <w:contextualSpacing/>
              <w:jc w:val="center"/>
              <w:rPr>
                <w:sz w:val="18"/>
                <w:szCs w:val="18"/>
              </w:rPr>
            </w:pPr>
            <w:r>
              <w:rPr>
                <w:sz w:val="18"/>
                <w:szCs w:val="18"/>
              </w:rPr>
              <w:t>3-29％</w:t>
            </w:r>
          </w:p>
        </w:tc>
      </w:tr>
    </w:tbl>
    <w:p>
      <w:pPr>
        <w:tabs>
          <w:tab w:val="left" w:pos="992"/>
        </w:tabs>
        <w:spacing w:line="500" w:lineRule="exact"/>
        <w:ind w:firstLine="480" w:firstLineChars="200"/>
        <w:rPr>
          <w:sz w:val="24"/>
        </w:rPr>
      </w:pPr>
      <w:r>
        <w:rPr>
          <w:sz w:val="24"/>
        </w:rPr>
        <w:t>c.确定建筑物综合成新率</w:t>
      </w:r>
    </w:p>
    <w:p>
      <w:pPr>
        <w:tabs>
          <w:tab w:val="left" w:pos="992"/>
        </w:tabs>
        <w:spacing w:line="500" w:lineRule="exact"/>
        <w:ind w:firstLine="480" w:firstLineChars="200"/>
        <w:rPr>
          <w:sz w:val="24"/>
        </w:rPr>
      </w:pPr>
      <w:r>
        <w:rPr>
          <w:sz w:val="24"/>
        </w:rPr>
        <w:t>通过运用直线法和现场勘察打分法，综合确定</w:t>
      </w:r>
      <w:r>
        <w:rPr>
          <w:rFonts w:hint="eastAsia"/>
          <w:sz w:val="24"/>
          <w:lang w:eastAsia="zh-CN"/>
        </w:rPr>
        <w:t>评估对象</w:t>
      </w:r>
      <w:r>
        <w:rPr>
          <w:sz w:val="24"/>
        </w:rPr>
        <w:t>建筑物的成新率，本次评估采用算术平均法确定价值时点各建筑物的成新率，即：成新率＝X1×Y1＋X2×Y2；</w:t>
      </w:r>
    </w:p>
    <w:p>
      <w:pPr>
        <w:tabs>
          <w:tab w:val="left" w:pos="992"/>
        </w:tabs>
        <w:spacing w:line="500" w:lineRule="exact"/>
        <w:ind w:firstLine="480" w:firstLineChars="200"/>
        <w:rPr>
          <w:sz w:val="24"/>
        </w:rPr>
      </w:pPr>
      <w:r>
        <w:rPr>
          <w:sz w:val="24"/>
        </w:rPr>
        <w:t>X1－使用年限法计算得出的成新率数值；</w:t>
      </w:r>
    </w:p>
    <w:p>
      <w:pPr>
        <w:tabs>
          <w:tab w:val="left" w:pos="992"/>
        </w:tabs>
        <w:spacing w:line="500" w:lineRule="exact"/>
        <w:ind w:firstLine="480" w:firstLineChars="200"/>
        <w:rPr>
          <w:sz w:val="24"/>
        </w:rPr>
      </w:pPr>
      <w:r>
        <w:rPr>
          <w:sz w:val="24"/>
        </w:rPr>
        <w:t>X2－实地查勘打分法得出的成新率数值；</w:t>
      </w:r>
    </w:p>
    <w:p>
      <w:pPr>
        <w:tabs>
          <w:tab w:val="left" w:pos="992"/>
        </w:tabs>
        <w:spacing w:line="500" w:lineRule="exact"/>
        <w:ind w:firstLine="480" w:firstLineChars="200"/>
        <w:rPr>
          <w:sz w:val="24"/>
        </w:rPr>
      </w:pPr>
      <w:r>
        <w:rPr>
          <w:sz w:val="24"/>
        </w:rPr>
        <w:t>Y1、Y2－权数，分别</w:t>
      </w:r>
      <w:r>
        <w:rPr>
          <w:sz w:val="24"/>
          <w:highlight w:val="none"/>
        </w:rPr>
        <w:t>取</w:t>
      </w:r>
      <w:r>
        <w:rPr>
          <w:rFonts w:hint="eastAsia"/>
          <w:sz w:val="24"/>
          <w:highlight w:val="none"/>
          <w:lang w:val="en-US" w:eastAsia="zh-CN"/>
        </w:rPr>
        <w:t>值</w:t>
      </w:r>
      <w:r>
        <w:rPr>
          <w:sz w:val="24"/>
        </w:rPr>
        <w:t>。</w:t>
      </w:r>
    </w:p>
    <w:p>
      <w:pPr>
        <w:tabs>
          <w:tab w:val="left" w:pos="992"/>
        </w:tabs>
        <w:spacing w:line="500" w:lineRule="exact"/>
        <w:ind w:firstLine="480" w:firstLineChars="200"/>
        <w:rPr>
          <w:sz w:val="24"/>
        </w:rPr>
      </w:pPr>
      <w:r>
        <w:rPr>
          <w:sz w:val="24"/>
        </w:rPr>
        <w:t>2.2 功能折旧</w:t>
      </w:r>
    </w:p>
    <w:p>
      <w:pPr>
        <w:tabs>
          <w:tab w:val="left" w:pos="992"/>
        </w:tabs>
        <w:spacing w:line="500" w:lineRule="exact"/>
        <w:ind w:firstLine="480" w:firstLineChars="200"/>
        <w:rPr>
          <w:sz w:val="24"/>
        </w:rPr>
      </w:pPr>
      <w:r>
        <w:rPr>
          <w:sz w:val="24"/>
        </w:rPr>
        <w:t>是指建筑物在功能上的缺乏、落后或过剩造成建筑物价值减损</w:t>
      </w:r>
      <w:r>
        <w:rPr>
          <w:sz w:val="24"/>
          <w:highlight w:val="none"/>
        </w:rPr>
        <w:t>。</w:t>
      </w:r>
      <w:r>
        <w:rPr>
          <w:rFonts w:hint="eastAsia"/>
          <w:sz w:val="24"/>
          <w:highlight w:val="none"/>
          <w:lang w:val="en-US" w:eastAsia="zh-CN"/>
        </w:rPr>
        <w:t>评估对象建成时间较短</w:t>
      </w:r>
      <w:r>
        <w:rPr>
          <w:sz w:val="24"/>
          <w:highlight w:val="none"/>
        </w:rPr>
        <w:t>，</w:t>
      </w:r>
      <w:r>
        <w:rPr>
          <w:sz w:val="24"/>
        </w:rPr>
        <w:t>不存在功能缺乏、落后或不足，因此功能折旧为0。</w:t>
      </w:r>
    </w:p>
    <w:p>
      <w:pPr>
        <w:tabs>
          <w:tab w:val="left" w:pos="992"/>
        </w:tabs>
        <w:spacing w:line="500" w:lineRule="exact"/>
        <w:ind w:firstLine="480" w:firstLineChars="200"/>
        <w:rPr>
          <w:sz w:val="24"/>
        </w:rPr>
      </w:pPr>
      <w:r>
        <w:rPr>
          <w:sz w:val="24"/>
        </w:rPr>
        <w:t>2.3 外部折旧</w:t>
      </w:r>
    </w:p>
    <w:p>
      <w:pPr>
        <w:tabs>
          <w:tab w:val="left" w:pos="992"/>
        </w:tabs>
        <w:spacing w:line="500" w:lineRule="exact"/>
        <w:ind w:firstLine="480" w:firstLineChars="200"/>
        <w:rPr>
          <w:sz w:val="24"/>
        </w:rPr>
      </w:pPr>
      <w:r>
        <w:rPr>
          <w:sz w:val="24"/>
        </w:rPr>
        <w:t>是指建筑物以为的各种不利因素造成的建筑物价值减损。</w:t>
      </w:r>
      <w:r>
        <w:rPr>
          <w:rFonts w:hint="eastAsia"/>
          <w:sz w:val="24"/>
          <w:lang w:eastAsia="zh-CN"/>
        </w:rPr>
        <w:t>评估对象</w:t>
      </w:r>
      <w:r>
        <w:rPr>
          <w:sz w:val="24"/>
        </w:rPr>
        <w:t>周边土地利用类型主要为</w:t>
      </w:r>
      <w:r>
        <w:rPr>
          <w:rFonts w:hint="eastAsia"/>
          <w:sz w:val="24"/>
        </w:rPr>
        <w:t>商业服务业</w:t>
      </w:r>
      <w:r>
        <w:rPr>
          <w:sz w:val="24"/>
        </w:rPr>
        <w:t>用地，无不利于</w:t>
      </w:r>
      <w:r>
        <w:rPr>
          <w:rFonts w:hint="eastAsia"/>
          <w:sz w:val="24"/>
          <w:lang w:eastAsia="zh-CN"/>
        </w:rPr>
        <w:t>评估对象</w:t>
      </w:r>
      <w:r>
        <w:rPr>
          <w:sz w:val="24"/>
        </w:rPr>
        <w:t>利用的政策性因素，也无其他不利经济因素，随着房地产开发的进一步深入，各项公共配套设施将逐步完善，因此确定</w:t>
      </w:r>
      <w:r>
        <w:rPr>
          <w:rFonts w:hint="eastAsia"/>
          <w:sz w:val="24"/>
          <w:lang w:eastAsia="zh-CN"/>
        </w:rPr>
        <w:t>评估对象</w:t>
      </w:r>
      <w:r>
        <w:rPr>
          <w:sz w:val="24"/>
        </w:rPr>
        <w:t>外部折旧为0。</w:t>
      </w:r>
    </w:p>
    <w:p>
      <w:pPr>
        <w:tabs>
          <w:tab w:val="left" w:pos="992"/>
        </w:tabs>
        <w:spacing w:line="500" w:lineRule="exact"/>
        <w:ind w:firstLine="480" w:firstLineChars="200"/>
        <w:rPr>
          <w:sz w:val="24"/>
        </w:rPr>
      </w:pPr>
      <w:r>
        <w:rPr>
          <w:sz w:val="24"/>
        </w:rPr>
        <w:t>2.4 建筑物折旧</w:t>
      </w:r>
    </w:p>
    <w:p>
      <w:pPr>
        <w:tabs>
          <w:tab w:val="left" w:pos="992"/>
        </w:tabs>
        <w:spacing w:line="500" w:lineRule="exact"/>
        <w:ind w:firstLine="480" w:firstLineChars="200"/>
        <w:rPr>
          <w:sz w:val="24"/>
        </w:rPr>
      </w:pPr>
      <w:r>
        <w:rPr>
          <w:sz w:val="24"/>
        </w:rPr>
        <w:t>建筑物折旧=物质折旧+功能折旧+外部折旧</w:t>
      </w:r>
    </w:p>
    <w:p>
      <w:pPr>
        <w:tabs>
          <w:tab w:val="left" w:pos="992"/>
        </w:tabs>
        <w:spacing w:line="500" w:lineRule="exact"/>
        <w:ind w:firstLine="480" w:firstLineChars="200"/>
        <w:rPr>
          <w:sz w:val="24"/>
        </w:rPr>
      </w:pPr>
      <w:r>
        <w:rPr>
          <w:sz w:val="24"/>
        </w:rPr>
        <w:t>3确定二次装修净值</w:t>
      </w:r>
    </w:p>
    <w:p>
      <w:pPr>
        <w:tabs>
          <w:tab w:val="left" w:pos="992"/>
        </w:tabs>
        <w:spacing w:line="500" w:lineRule="exact"/>
        <w:ind w:firstLine="480" w:firstLineChars="200"/>
        <w:rPr>
          <w:sz w:val="24"/>
        </w:rPr>
      </w:pPr>
      <w:r>
        <w:rPr>
          <w:sz w:val="24"/>
        </w:rPr>
        <w:t>根据《最新资产评估常用数据与参考手册》（第一册），室内装修耐用年限为8年。根据《江苏省建筑工程造价估算指标》，</w:t>
      </w:r>
      <w:r>
        <w:rPr>
          <w:rFonts w:hint="eastAsia"/>
          <w:sz w:val="24"/>
          <w:lang w:eastAsia="zh-CN"/>
        </w:rPr>
        <w:t>评估专业人员</w:t>
      </w:r>
      <w:r>
        <w:rPr>
          <w:sz w:val="24"/>
        </w:rPr>
        <w:t>实地查勘，</w:t>
      </w:r>
      <w:r>
        <w:rPr>
          <w:rFonts w:hint="eastAsia"/>
          <w:sz w:val="24"/>
          <w:lang w:eastAsia="zh-CN"/>
        </w:rPr>
        <w:t>评估对象</w:t>
      </w:r>
      <w:r>
        <w:rPr>
          <w:sz w:val="24"/>
        </w:rPr>
        <w:t>范围内的建筑物为一般装饰，本次评估涵盖在建筑物中未予单独考虑。</w:t>
      </w:r>
    </w:p>
    <w:p>
      <w:pPr>
        <w:tabs>
          <w:tab w:val="left" w:pos="992"/>
        </w:tabs>
        <w:spacing w:line="500" w:lineRule="exact"/>
        <w:ind w:firstLine="480" w:firstLineChars="200"/>
        <w:rPr>
          <w:sz w:val="24"/>
        </w:rPr>
      </w:pPr>
      <w:r>
        <w:rPr>
          <w:sz w:val="24"/>
        </w:rPr>
        <w:t>3.1、建筑物价值的确定</w:t>
      </w:r>
    </w:p>
    <w:p>
      <w:pPr>
        <w:tabs>
          <w:tab w:val="left" w:pos="992"/>
        </w:tabs>
        <w:spacing w:line="500" w:lineRule="exact"/>
        <w:ind w:firstLine="480" w:firstLineChars="200"/>
        <w:rPr>
          <w:sz w:val="24"/>
        </w:rPr>
      </w:pPr>
      <w:r>
        <w:rPr>
          <w:sz w:val="24"/>
        </w:rPr>
        <w:t>根据公式</w:t>
      </w:r>
      <w:r>
        <w:rPr>
          <w:sz w:val="24"/>
          <w:highlight w:val="none"/>
        </w:rPr>
        <w:t>：</w:t>
      </w:r>
      <w:r>
        <w:rPr>
          <w:rFonts w:hint="eastAsia"/>
          <w:sz w:val="24"/>
          <w:highlight w:val="none"/>
          <w:lang w:val="en-US" w:eastAsia="zh-CN"/>
        </w:rPr>
        <w:t>评估价值</w:t>
      </w:r>
      <w:r>
        <w:rPr>
          <w:sz w:val="24"/>
          <w:highlight w:val="none"/>
        </w:rPr>
        <w:t>＝建筑</w:t>
      </w:r>
      <w:r>
        <w:rPr>
          <w:sz w:val="24"/>
        </w:rPr>
        <w:t>物重置成本-建筑物折旧+二次装修净值，确定</w:t>
      </w:r>
      <w:r>
        <w:rPr>
          <w:rFonts w:hint="eastAsia"/>
          <w:sz w:val="24"/>
          <w:lang w:eastAsia="zh-CN"/>
        </w:rPr>
        <w:t>评估对象</w:t>
      </w:r>
      <w:r>
        <w:rPr>
          <w:sz w:val="24"/>
        </w:rPr>
        <w:t>建筑物价值。</w:t>
      </w:r>
    </w:p>
    <w:p>
      <w:pPr>
        <w:numPr>
          <w:ilvl w:val="0"/>
          <w:numId w:val="9"/>
        </w:numPr>
        <w:adjustRightInd w:val="0"/>
        <w:snapToGrid w:val="0"/>
        <w:spacing w:line="500" w:lineRule="exact"/>
        <w:ind w:firstLine="482" w:firstLineChars="200"/>
        <w:rPr>
          <w:rFonts w:hint="eastAsia"/>
          <w:b/>
          <w:bCs/>
          <w:sz w:val="24"/>
          <w:lang w:val="en-US" w:eastAsia="zh-CN"/>
        </w:rPr>
      </w:pPr>
      <w:r>
        <w:rPr>
          <w:rFonts w:hint="eastAsia"/>
          <w:b/>
          <w:bCs/>
          <w:sz w:val="24"/>
          <w:lang w:val="en-US" w:eastAsia="zh-CN"/>
        </w:rPr>
        <w:t>土地使用权的评估</w:t>
      </w:r>
    </w:p>
    <w:p>
      <w:pPr>
        <w:widowControl/>
        <w:spacing w:line="480" w:lineRule="exact"/>
        <w:ind w:firstLine="480" w:firstLineChars="200"/>
        <w:jc w:val="left"/>
        <w:rPr>
          <w:rFonts w:hint="default"/>
          <w:sz w:val="24"/>
          <w:highlight w:val="none"/>
          <w:lang w:val="en-US" w:eastAsia="zh-CN"/>
        </w:rPr>
      </w:pPr>
      <w:r>
        <w:rPr>
          <w:rFonts w:hint="eastAsia"/>
          <w:sz w:val="24"/>
          <w:highlight w:val="none"/>
          <w:lang w:val="en-US" w:eastAsia="zh-CN"/>
        </w:rPr>
        <w:t>市场比较法</w:t>
      </w:r>
    </w:p>
    <w:p>
      <w:pPr>
        <w:widowControl/>
        <w:spacing w:line="480" w:lineRule="exact"/>
        <w:ind w:firstLine="480" w:firstLineChars="200"/>
        <w:jc w:val="left"/>
        <w:rPr>
          <w:rFonts w:hint="eastAsia"/>
          <w:sz w:val="24"/>
          <w:highlight w:val="none"/>
        </w:rPr>
      </w:pPr>
      <w:r>
        <w:rPr>
          <w:rFonts w:hint="eastAsia"/>
          <w:sz w:val="24"/>
          <w:highlight w:val="none"/>
        </w:rPr>
        <w:t>市场比较法是根据替代原理，将待估宗地与具有替代性的，且在</w:t>
      </w:r>
      <w:r>
        <w:rPr>
          <w:rFonts w:hint="eastAsia"/>
          <w:sz w:val="24"/>
          <w:highlight w:val="none"/>
          <w:lang w:val="en-US" w:eastAsia="zh-CN"/>
        </w:rPr>
        <w:t>评估基准日</w:t>
      </w:r>
      <w:r>
        <w:rPr>
          <w:rFonts w:hint="eastAsia"/>
          <w:sz w:val="24"/>
          <w:highlight w:val="none"/>
        </w:rPr>
        <w:t>近期市场上交易的类似宗地进行比较，并对类似宗地的成交价格进行差异修正，以此</w:t>
      </w:r>
      <w:r>
        <w:rPr>
          <w:rFonts w:hint="eastAsia"/>
          <w:sz w:val="24"/>
          <w:highlight w:val="none"/>
          <w:lang w:val="en-US" w:eastAsia="zh-CN"/>
        </w:rPr>
        <w:t>评估</w:t>
      </w:r>
      <w:r>
        <w:rPr>
          <w:rFonts w:hint="eastAsia"/>
          <w:sz w:val="24"/>
          <w:highlight w:val="none"/>
        </w:rPr>
        <w:t>待估宗地价格的方法。基本思路是在估算待估宗地地价时，根据替代原则，将待估宗地与具有替代性的，且在</w:t>
      </w:r>
      <w:r>
        <w:rPr>
          <w:rFonts w:hint="eastAsia"/>
          <w:sz w:val="24"/>
          <w:highlight w:val="none"/>
          <w:lang w:eastAsia="zh-CN"/>
        </w:rPr>
        <w:t>评估基准日</w:t>
      </w:r>
      <w:r>
        <w:rPr>
          <w:rFonts w:hint="eastAsia"/>
          <w:sz w:val="24"/>
          <w:highlight w:val="none"/>
        </w:rPr>
        <w:t>近期市场上交易的类似地产进行比较，并依据后者已知的成交价格，参照待估宗地的交易时间、交易情况、交易方式、土地使用年限、容积率、区域以及个别因素等，修正评出比准地价，最终以交易的类似地产比准地价估算待估宗地在</w:t>
      </w:r>
      <w:r>
        <w:rPr>
          <w:rFonts w:hint="eastAsia"/>
          <w:sz w:val="24"/>
          <w:highlight w:val="none"/>
          <w:lang w:eastAsia="zh-CN"/>
        </w:rPr>
        <w:t>评估基准日</w:t>
      </w:r>
      <w:r>
        <w:rPr>
          <w:rFonts w:hint="eastAsia"/>
          <w:sz w:val="24"/>
          <w:highlight w:val="none"/>
        </w:rPr>
        <w:t>的地价。</w:t>
      </w:r>
    </w:p>
    <w:p>
      <w:pPr>
        <w:widowControl/>
        <w:spacing w:line="480" w:lineRule="exact"/>
        <w:ind w:firstLine="480" w:firstLineChars="200"/>
        <w:jc w:val="left"/>
        <w:rPr>
          <w:rFonts w:hint="eastAsia" w:eastAsia="宋体"/>
          <w:sz w:val="24"/>
          <w:highlight w:val="none"/>
          <w:lang w:eastAsia="zh-CN"/>
        </w:rPr>
      </w:pPr>
      <w:r>
        <w:rPr>
          <w:rFonts w:hint="eastAsia" w:eastAsia="宋体"/>
          <w:sz w:val="24"/>
          <w:highlight w:val="none"/>
          <w:lang w:eastAsia="zh-CN"/>
        </w:rPr>
        <w:drawing>
          <wp:inline distT="0" distB="0" distL="114300" distR="114300">
            <wp:extent cx="1981200" cy="228600"/>
            <wp:effectExtent l="0" t="0" r="0" b="0"/>
            <wp:docPr id="1" name="图片 1" descr="e5b047ee7532935cb867b779a5955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5b047ee7532935cb867b779a5955dc"/>
                    <pic:cNvPicPr>
                      <a:picLocks noChangeAspect="1"/>
                    </pic:cNvPicPr>
                  </pic:nvPicPr>
                  <pic:blipFill>
                    <a:blip r:embed="rId7"/>
                    <a:stretch>
                      <a:fillRect/>
                    </a:stretch>
                  </pic:blipFill>
                  <pic:spPr>
                    <a:xfrm>
                      <a:off x="0" y="0"/>
                      <a:ext cx="1981200" cy="228600"/>
                    </a:xfrm>
                    <a:prstGeom prst="rect">
                      <a:avLst/>
                    </a:prstGeom>
                    <a:noFill/>
                    <a:ln>
                      <a:noFill/>
                    </a:ln>
                  </pic:spPr>
                </pic:pic>
              </a:graphicData>
            </a:graphic>
          </wp:inline>
        </w:drawing>
      </w:r>
    </w:p>
    <w:p>
      <w:pPr>
        <w:widowControl/>
        <w:spacing w:line="480" w:lineRule="exact"/>
        <w:ind w:firstLine="480" w:firstLineChars="200"/>
        <w:jc w:val="left"/>
        <w:rPr>
          <w:rFonts w:hint="eastAsia" w:eastAsia="宋体"/>
          <w:sz w:val="24"/>
          <w:highlight w:val="none"/>
          <w:lang w:eastAsia="zh-CN"/>
        </w:rPr>
      </w:pPr>
      <w:r>
        <w:rPr>
          <w:rFonts w:hint="eastAsia" w:eastAsia="宋体"/>
          <w:sz w:val="24"/>
          <w:highlight w:val="none"/>
          <w:lang w:eastAsia="zh-CN"/>
        </w:rPr>
        <w:t>式中：P—待估宗地价格；</w:t>
      </w:r>
    </w:p>
    <w:p>
      <w:pPr>
        <w:widowControl/>
        <w:spacing w:line="480" w:lineRule="exact"/>
        <w:ind w:firstLine="480" w:firstLineChars="200"/>
        <w:jc w:val="left"/>
        <w:rPr>
          <w:rFonts w:hint="eastAsia" w:eastAsia="宋体"/>
          <w:sz w:val="24"/>
          <w:highlight w:val="none"/>
          <w:lang w:eastAsia="zh-CN"/>
        </w:rPr>
      </w:pPr>
      <w:r>
        <w:rPr>
          <w:rFonts w:hint="eastAsia" w:eastAsia="宋体"/>
          <w:sz w:val="24"/>
          <w:highlight w:val="none"/>
          <w:lang w:eastAsia="zh-CN"/>
        </w:rPr>
        <w:t>PB—比较实例价格；</w:t>
      </w:r>
    </w:p>
    <w:p>
      <w:pPr>
        <w:widowControl/>
        <w:spacing w:line="480" w:lineRule="exact"/>
        <w:ind w:firstLine="480" w:firstLineChars="200"/>
        <w:jc w:val="left"/>
        <w:rPr>
          <w:rFonts w:hint="eastAsia" w:eastAsia="宋体"/>
          <w:sz w:val="24"/>
          <w:highlight w:val="none"/>
          <w:lang w:eastAsia="zh-CN"/>
        </w:rPr>
      </w:pPr>
      <w:r>
        <w:rPr>
          <w:rFonts w:hint="eastAsia" w:eastAsia="宋体"/>
          <w:sz w:val="24"/>
          <w:highlight w:val="none"/>
          <w:lang w:eastAsia="zh-CN"/>
        </w:rPr>
        <w:t>A—待估宗地交易情况指数除以比较实例宗地交易情况指数；</w:t>
      </w:r>
    </w:p>
    <w:p>
      <w:pPr>
        <w:widowControl/>
        <w:spacing w:line="480" w:lineRule="exact"/>
        <w:ind w:firstLine="480" w:firstLineChars="200"/>
        <w:jc w:val="left"/>
        <w:rPr>
          <w:rFonts w:hint="eastAsia" w:eastAsia="宋体"/>
          <w:sz w:val="24"/>
          <w:highlight w:val="none"/>
          <w:lang w:eastAsia="zh-CN"/>
        </w:rPr>
      </w:pPr>
      <w:r>
        <w:rPr>
          <w:rFonts w:hint="eastAsia" w:eastAsia="宋体"/>
          <w:sz w:val="24"/>
          <w:highlight w:val="none"/>
          <w:lang w:eastAsia="zh-CN"/>
        </w:rPr>
        <w:t>B—待估宗地</w:t>
      </w:r>
      <w:r>
        <w:rPr>
          <w:rFonts w:hint="eastAsia"/>
          <w:sz w:val="24"/>
          <w:highlight w:val="none"/>
          <w:lang w:eastAsia="zh-CN"/>
        </w:rPr>
        <w:t>评估基准日</w:t>
      </w:r>
      <w:r>
        <w:rPr>
          <w:rFonts w:hint="eastAsia" w:eastAsia="宋体"/>
          <w:sz w:val="24"/>
          <w:highlight w:val="none"/>
          <w:lang w:eastAsia="zh-CN"/>
        </w:rPr>
        <w:t>地价指数除以比较实例宗地交易日期地价指数；</w:t>
      </w:r>
    </w:p>
    <w:p>
      <w:pPr>
        <w:widowControl/>
        <w:spacing w:line="480" w:lineRule="exact"/>
        <w:ind w:firstLine="480" w:firstLineChars="200"/>
        <w:jc w:val="left"/>
        <w:rPr>
          <w:rFonts w:hint="eastAsia" w:eastAsia="宋体"/>
          <w:sz w:val="24"/>
          <w:highlight w:val="none"/>
          <w:lang w:eastAsia="zh-CN"/>
        </w:rPr>
      </w:pPr>
      <w:r>
        <w:rPr>
          <w:rFonts w:hint="eastAsia" w:eastAsia="宋体"/>
          <w:sz w:val="24"/>
          <w:highlight w:val="none"/>
          <w:lang w:eastAsia="zh-CN"/>
        </w:rPr>
        <w:t> C—待估宗地区域因素条件指数除以比较实例宗地区域因素条件指数；</w:t>
      </w:r>
    </w:p>
    <w:p>
      <w:pPr>
        <w:widowControl/>
        <w:spacing w:line="480" w:lineRule="exact"/>
        <w:ind w:firstLine="480" w:firstLineChars="200"/>
        <w:jc w:val="left"/>
        <w:rPr>
          <w:rFonts w:hint="eastAsia" w:eastAsia="宋体"/>
          <w:sz w:val="24"/>
          <w:highlight w:val="none"/>
          <w:lang w:eastAsia="zh-CN"/>
        </w:rPr>
      </w:pPr>
      <w:r>
        <w:rPr>
          <w:rFonts w:hint="eastAsia" w:eastAsia="宋体"/>
          <w:sz w:val="24"/>
          <w:highlight w:val="none"/>
          <w:lang w:eastAsia="zh-CN"/>
        </w:rPr>
        <w:t>D—待估宗地个别因素条件指数除以比较实例宗地个别因素条件指数；</w:t>
      </w:r>
    </w:p>
    <w:p>
      <w:pPr>
        <w:widowControl/>
        <w:spacing w:line="480" w:lineRule="exact"/>
        <w:ind w:firstLine="480" w:firstLineChars="200"/>
        <w:jc w:val="left"/>
        <w:rPr>
          <w:rFonts w:hint="eastAsia" w:eastAsia="宋体"/>
          <w:sz w:val="24"/>
          <w:highlight w:val="none"/>
          <w:lang w:eastAsia="zh-CN"/>
        </w:rPr>
      </w:pPr>
      <w:r>
        <w:rPr>
          <w:rFonts w:hint="eastAsia" w:eastAsia="宋体"/>
          <w:sz w:val="24"/>
          <w:highlight w:val="none"/>
          <w:lang w:eastAsia="zh-CN"/>
        </w:rPr>
        <w:t>E—待估宗地年期修正指数除以比较实例年期修正指数。</w:t>
      </w:r>
    </w:p>
    <w:p>
      <w:pPr>
        <w:widowControl/>
        <w:numPr>
          <w:ilvl w:val="0"/>
          <w:numId w:val="10"/>
        </w:numPr>
        <w:spacing w:line="480" w:lineRule="exact"/>
        <w:ind w:firstLine="482" w:firstLineChars="200"/>
        <w:jc w:val="left"/>
        <w:rPr>
          <w:rFonts w:hint="eastAsia"/>
          <w:b/>
          <w:bCs/>
          <w:sz w:val="24"/>
          <w:highlight w:val="none"/>
          <w:lang w:val="en-US" w:eastAsia="zh-CN"/>
        </w:rPr>
      </w:pPr>
      <w:r>
        <w:rPr>
          <w:rFonts w:hint="eastAsia"/>
          <w:b/>
          <w:bCs/>
          <w:sz w:val="24"/>
          <w:highlight w:val="none"/>
          <w:lang w:val="en-US" w:eastAsia="zh-CN"/>
        </w:rPr>
        <w:t>收益法</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ind w:firstLine="482" w:firstLineChars="200"/>
        <w:jc w:val="left"/>
        <w:textAlignment w:val="auto"/>
        <w:rPr>
          <w:b/>
          <w:bCs/>
          <w:sz w:val="24"/>
        </w:rPr>
      </w:pPr>
      <w:r>
        <w:rPr>
          <w:b/>
          <w:bCs/>
          <w:sz w:val="24"/>
        </w:rPr>
        <w:t>房屋建筑物的评估</w:t>
      </w:r>
    </w:p>
    <w:p>
      <w:pPr>
        <w:spacing w:line="480" w:lineRule="exact"/>
        <w:ind w:firstLine="480" w:firstLineChars="200"/>
        <w:contextualSpacing/>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收益法是在估算房地产在未来每年预期纯收益的基础上，以一定的资本化率，将估价对象在未来每年的纯收益折算为估价时点收益总和，从而求得该房地产价值的一种方法。其计算公式为：</w:t>
      </w:r>
    </w:p>
    <w:p>
      <w:pPr>
        <w:spacing w:line="480" w:lineRule="exact"/>
        <w:ind w:firstLine="480" w:firstLineChars="200"/>
        <w:contextualSpacing/>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anchor distT="0" distB="0" distL="114300" distR="114300" simplePos="0" relativeHeight="251662336" behindDoc="0" locked="0" layoutInCell="1" allowOverlap="1">
            <wp:simplePos x="0" y="0"/>
            <wp:positionH relativeFrom="column">
              <wp:posOffset>751840</wp:posOffset>
            </wp:positionH>
            <wp:positionV relativeFrom="paragraph">
              <wp:posOffset>173355</wp:posOffset>
            </wp:positionV>
            <wp:extent cx="1677670" cy="643890"/>
            <wp:effectExtent l="0" t="0" r="17780" b="317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1677670" cy="643890"/>
                    </a:xfrm>
                    <a:prstGeom prst="rect">
                      <a:avLst/>
                    </a:prstGeom>
                    <a:noFill/>
                    <a:ln>
                      <a:noFill/>
                    </a:ln>
                  </pic:spPr>
                </pic:pic>
              </a:graphicData>
            </a:graphic>
          </wp:anchor>
        </w:drawing>
      </w:r>
    </w:p>
    <w:p>
      <w:pPr>
        <w:spacing w:line="480" w:lineRule="exact"/>
        <w:ind w:firstLine="480" w:firstLineChars="200"/>
        <w:contextualSpacing/>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w:t>
      </w:r>
    </w:p>
    <w:p>
      <w:pPr>
        <w:spacing w:line="480" w:lineRule="exact"/>
        <w:ind w:firstLine="480" w:firstLineChars="200"/>
        <w:contextualSpacing/>
        <w:rPr>
          <w:rFonts w:hint="default" w:ascii="Times New Roman" w:hAnsi="Times New Roman" w:eastAsia="宋体" w:cs="Times New Roman"/>
          <w:sz w:val="24"/>
          <w:szCs w:val="24"/>
        </w:rPr>
      </w:pPr>
    </w:p>
    <w:p>
      <w:pPr>
        <w:spacing w:line="480" w:lineRule="exact"/>
        <w:ind w:firstLine="480" w:firstLineChars="200"/>
        <w:contextualSpacing/>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V------房地产价值</w:t>
      </w:r>
    </w:p>
    <w:p>
      <w:pPr>
        <w:spacing w:line="480" w:lineRule="exact"/>
        <w:ind w:firstLine="480" w:firstLineChars="200"/>
        <w:contextualSpacing/>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年纯收益</w:t>
      </w:r>
    </w:p>
    <w:p>
      <w:pPr>
        <w:spacing w:line="480" w:lineRule="exact"/>
        <w:ind w:firstLine="480" w:firstLineChars="200"/>
        <w:contextualSpacing/>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资本化率</w:t>
      </w:r>
    </w:p>
    <w:p>
      <w:pPr>
        <w:spacing w:line="480" w:lineRule="exact"/>
        <w:ind w:firstLine="480" w:firstLineChars="200"/>
        <w:contextualSpacing/>
        <w:rPr>
          <w:rFonts w:hint="default" w:ascii="Times New Roman" w:hAnsi="Times New Roman" w:eastAsia="宋体" w:cs="Times New Roman"/>
          <w:sz w:val="24"/>
          <w:szCs w:val="24"/>
        </w:rPr>
      </w:pPr>
      <w:r>
        <w:rPr>
          <w:rFonts w:hint="default" w:ascii="Times New Roman" w:hAnsi="Times New Roman" w:eastAsia="宋体" w:cs="Times New Roman"/>
          <w:sz w:val="24"/>
          <w:szCs w:val="24"/>
        </w:rPr>
        <w:t>n------收益年限</w:t>
      </w:r>
    </w:p>
    <w:p>
      <w:pPr>
        <w:spacing w:line="480" w:lineRule="exact"/>
        <w:ind w:firstLine="480" w:firstLineChars="200"/>
        <w:contextualSpacing/>
        <w:rPr>
          <w:rFonts w:hint="default"/>
          <w:b w:val="0"/>
          <w:bCs w:val="0"/>
          <w:sz w:val="24"/>
          <w:szCs w:val="24"/>
          <w:lang w:val="en-US" w:eastAsia="zh-CN"/>
        </w:rPr>
      </w:pPr>
      <w:r>
        <w:rPr>
          <w:rFonts w:hint="default" w:ascii="Times New Roman" w:hAnsi="Times New Roman" w:eastAsia="宋体" w:cs="Times New Roman"/>
          <w:sz w:val="24"/>
          <w:szCs w:val="24"/>
        </w:rPr>
        <w:t>s------租金增长率</w:t>
      </w:r>
    </w:p>
    <w:p>
      <w:pPr>
        <w:pStyle w:val="3"/>
        <w:spacing w:line="500" w:lineRule="exact"/>
        <w:ind w:firstLine="472" w:firstLineChars="196"/>
        <w:rPr>
          <w:rFonts w:ascii="Times New Roman" w:hAnsi="Times New Roman"/>
          <w:color w:val="FF0000"/>
          <w:spacing w:val="-4"/>
        </w:rPr>
      </w:pPr>
      <w:r>
        <w:rPr>
          <w:rFonts w:ascii="Times New Roman" w:hAnsi="Times New Roman"/>
        </w:rPr>
        <w:t>八、评估程序实施过程和情况</w:t>
      </w:r>
      <w:bookmarkEnd w:id="24"/>
    </w:p>
    <w:p>
      <w:pPr>
        <w:spacing w:line="500" w:lineRule="exact"/>
        <w:ind w:firstLine="480" w:firstLineChars="200"/>
        <w:rPr>
          <w:sz w:val="24"/>
        </w:rPr>
      </w:pPr>
      <w:r>
        <w:rPr>
          <w:sz w:val="24"/>
        </w:rPr>
        <w:t>本项目评估</w:t>
      </w:r>
      <w:r>
        <w:rPr>
          <w:rFonts w:hint="default" w:ascii="Times New Roman" w:hAnsi="Times New Roman" w:cs="Times New Roman"/>
          <w:sz w:val="24"/>
        </w:rPr>
        <w:t>于202</w:t>
      </w:r>
      <w:r>
        <w:rPr>
          <w:rFonts w:hint="default" w:ascii="Times New Roman" w:hAnsi="Times New Roman" w:cs="Times New Roman"/>
          <w:sz w:val="24"/>
          <w:lang w:val="en-US" w:eastAsia="zh-CN"/>
        </w:rPr>
        <w:t>1</w:t>
      </w:r>
      <w:r>
        <w:rPr>
          <w:rFonts w:hint="default" w:ascii="Times New Roman" w:hAnsi="Times New Roman" w:cs="Times New Roman"/>
          <w:sz w:val="24"/>
        </w:rPr>
        <w:t>年0</w:t>
      </w:r>
      <w:r>
        <w:rPr>
          <w:rFonts w:hint="default" w:ascii="Times New Roman" w:hAnsi="Times New Roman" w:cs="Times New Roman"/>
          <w:sz w:val="24"/>
          <w:lang w:val="en-US" w:eastAsia="zh-CN"/>
        </w:rPr>
        <w:t>1</w:t>
      </w:r>
      <w:r>
        <w:rPr>
          <w:rFonts w:hint="default" w:ascii="Times New Roman" w:hAnsi="Times New Roman" w:cs="Times New Roman"/>
          <w:sz w:val="24"/>
        </w:rPr>
        <w:t>月</w:t>
      </w:r>
      <w:r>
        <w:rPr>
          <w:rFonts w:hint="default" w:ascii="Times New Roman" w:hAnsi="Times New Roman" w:cs="Times New Roman"/>
          <w:sz w:val="24"/>
          <w:lang w:val="en-US" w:eastAsia="zh-CN"/>
        </w:rPr>
        <w:t>08</w:t>
      </w:r>
      <w:r>
        <w:rPr>
          <w:rFonts w:hint="default" w:ascii="Times New Roman" w:hAnsi="Times New Roman" w:cs="Times New Roman"/>
          <w:sz w:val="24"/>
        </w:rPr>
        <w:t>日</w:t>
      </w:r>
      <w:r>
        <w:rPr>
          <w:rFonts w:hint="default" w:ascii="Times New Roman" w:hAnsi="Times New Roman" w:cs="Times New Roman"/>
          <w:color w:val="000000"/>
          <w:sz w:val="24"/>
        </w:rPr>
        <w:t>开始至</w:t>
      </w:r>
      <w:r>
        <w:rPr>
          <w:rFonts w:hint="default" w:ascii="Times New Roman" w:hAnsi="Times New Roman" w:cs="Times New Roman"/>
          <w:color w:val="000000"/>
          <w:sz w:val="24"/>
          <w:lang w:eastAsia="zh-CN"/>
        </w:rPr>
        <w:t>2021年01月11</w:t>
      </w:r>
      <w:r>
        <w:rPr>
          <w:rFonts w:hint="eastAsia"/>
          <w:color w:val="000000"/>
          <w:sz w:val="24"/>
          <w:lang w:eastAsia="zh-CN"/>
        </w:rPr>
        <w:t>日</w:t>
      </w:r>
      <w:r>
        <w:rPr>
          <w:color w:val="000000"/>
          <w:sz w:val="24"/>
        </w:rPr>
        <w:t>工作</w:t>
      </w:r>
      <w:r>
        <w:rPr>
          <w:sz w:val="24"/>
        </w:rPr>
        <w:t>结束。整个评估工作分以下五个阶段进行：</w:t>
      </w:r>
    </w:p>
    <w:p>
      <w:pPr>
        <w:spacing w:line="500" w:lineRule="exact"/>
        <w:ind w:firstLine="480" w:firstLineChars="200"/>
        <w:rPr>
          <w:sz w:val="24"/>
        </w:rPr>
      </w:pPr>
      <w:r>
        <w:rPr>
          <w:sz w:val="24"/>
        </w:rPr>
        <w:t>（一）接受委托：与委托人洽谈，明确评估业务基本事项，对自身专业胜任能力、独立性和业务风险进行综合分析和评价，接受委托，签订资产评估委托合同；确定项目负责人，组成评估项目组，编制评估计划；辅导被评估企业填报资产评估申报表，准备评估所需资料。</w:t>
      </w:r>
    </w:p>
    <w:p>
      <w:pPr>
        <w:spacing w:line="500" w:lineRule="exact"/>
        <w:ind w:firstLine="480" w:firstLineChars="200"/>
        <w:rPr>
          <w:sz w:val="24"/>
        </w:rPr>
      </w:pPr>
      <w:r>
        <w:rPr>
          <w:sz w:val="24"/>
        </w:rPr>
        <w:t>（二）资产清查：根据此次评估业务的具体情况，按照评估程序准则和其他相关规定的要求，评估人员通过询问、核对、勘查、检查、抽查等方式进行实地调查，从各种可能的途径获取评估资料，核实评估范围，了解评估对象现状，关注评估对象法律权属。</w:t>
      </w:r>
    </w:p>
    <w:p>
      <w:pPr>
        <w:spacing w:line="500" w:lineRule="exact"/>
        <w:ind w:firstLine="480" w:firstLineChars="200"/>
        <w:rPr>
          <w:sz w:val="24"/>
        </w:rPr>
      </w:pPr>
      <w:r>
        <w:rPr>
          <w:sz w:val="24"/>
        </w:rPr>
        <w:t>（三）评定估算：对收集的评估资料进行必要分析、归纳和整理，形成评定估算的依据；根据评估对象、价值类型、评估资料收集情况等相关条件，选择适用的评估方法，选取相应的公式和参数进行分析、计算和判断，形成初步评估结果。</w:t>
      </w:r>
    </w:p>
    <w:p>
      <w:pPr>
        <w:spacing w:line="500" w:lineRule="exact"/>
        <w:ind w:firstLine="480" w:firstLineChars="200"/>
        <w:rPr>
          <w:sz w:val="24"/>
        </w:rPr>
      </w:pPr>
      <w:r>
        <w:rPr>
          <w:sz w:val="24"/>
        </w:rPr>
        <w:t>（四）汇总分析：对初步评估结果进行分析，在核实确认相关评估结果准确无误、评估工作没有发生重复和遗漏情况的基础上，确定最终评估结论，撰写资产评估报告书；根据相关法律、法规、资产评估准则和评估机构内部质量控制制度，对评估报告及评估程序执行情况进行必要的内部审核。评估报告初稿交委托人或者委托人许可的相关当事方人审阅并就评估报告有关内容进行必要沟通。</w:t>
      </w:r>
    </w:p>
    <w:p>
      <w:pPr>
        <w:spacing w:line="500" w:lineRule="exact"/>
        <w:ind w:firstLine="480" w:firstLineChars="200"/>
        <w:rPr>
          <w:sz w:val="24"/>
        </w:rPr>
      </w:pPr>
      <w:r>
        <w:rPr>
          <w:sz w:val="24"/>
        </w:rPr>
        <w:t>（五）出具报告：按资产评估委托合同的要求向委托人提交正式资产评估报告书。</w:t>
      </w:r>
    </w:p>
    <w:p>
      <w:pPr>
        <w:pStyle w:val="3"/>
        <w:spacing w:line="500" w:lineRule="exact"/>
        <w:ind w:firstLine="472" w:firstLineChars="196"/>
        <w:rPr>
          <w:rFonts w:ascii="Times New Roman" w:hAnsi="Times New Roman"/>
        </w:rPr>
      </w:pPr>
      <w:bookmarkStart w:id="25" w:name="_Toc11565"/>
      <w:r>
        <w:rPr>
          <w:rFonts w:ascii="Times New Roman" w:hAnsi="Times New Roman"/>
        </w:rPr>
        <w:t>九、评估假设</w:t>
      </w:r>
      <w:bookmarkEnd w:id="25"/>
    </w:p>
    <w:p>
      <w:pPr>
        <w:spacing w:line="500" w:lineRule="exact"/>
        <w:ind w:firstLine="480" w:firstLineChars="200"/>
        <w:rPr>
          <w:sz w:val="24"/>
        </w:rPr>
      </w:pPr>
      <w:r>
        <w:rPr>
          <w:sz w:val="24"/>
        </w:rPr>
        <w:t>（一）本次评估是以本资产评估报告所列明的特定评估目的为基本假设前提。</w:t>
      </w:r>
    </w:p>
    <w:p>
      <w:pPr>
        <w:spacing w:line="500" w:lineRule="exact"/>
        <w:ind w:firstLine="480" w:firstLineChars="200"/>
        <w:rPr>
          <w:sz w:val="24"/>
        </w:rPr>
      </w:pPr>
      <w:r>
        <w:rPr>
          <w:sz w:val="24"/>
        </w:rPr>
        <w:t>（二）资产持续使用假设：假定被评估对象按原设计的用途和使用方式、规模、频度、环境等情况继续使用。</w:t>
      </w:r>
    </w:p>
    <w:p>
      <w:pPr>
        <w:spacing w:line="500" w:lineRule="exact"/>
        <w:ind w:firstLine="480" w:firstLineChars="200"/>
        <w:rPr>
          <w:sz w:val="24"/>
        </w:rPr>
      </w:pPr>
      <w:r>
        <w:rPr>
          <w:sz w:val="24"/>
        </w:rPr>
        <w:t>（三）无重大变化假设：是假定国家有关利率、汇率、赋税基准及税率、政策性征收费用等不发生重大变化。</w:t>
      </w:r>
    </w:p>
    <w:p>
      <w:pPr>
        <w:spacing w:line="500" w:lineRule="exact"/>
        <w:ind w:firstLine="480" w:firstLineChars="200"/>
        <w:rPr>
          <w:sz w:val="24"/>
        </w:rPr>
      </w:pPr>
      <w:r>
        <w:rPr>
          <w:sz w:val="24"/>
        </w:rPr>
        <w:t>（四）无不利影响假设：是假定无其他人力不可抗拒因素及不可预见因素对待估资产造成重大不利影响。</w:t>
      </w:r>
    </w:p>
    <w:p>
      <w:pPr>
        <w:spacing w:line="500" w:lineRule="exact"/>
        <w:ind w:firstLine="480" w:firstLineChars="200"/>
        <w:rPr>
          <w:sz w:val="24"/>
        </w:rPr>
      </w:pPr>
      <w:r>
        <w:rPr>
          <w:sz w:val="24"/>
        </w:rPr>
        <w:t>（五）无瑕疵假设：是假定委评资产无权属瑕疵事项，或存在的权属瑕疵事项已全部揭示。</w:t>
      </w:r>
    </w:p>
    <w:p>
      <w:pPr>
        <w:spacing w:line="500" w:lineRule="exact"/>
        <w:ind w:firstLine="480" w:firstLineChars="200"/>
        <w:rPr>
          <w:sz w:val="24"/>
        </w:rPr>
      </w:pPr>
      <w:r>
        <w:rPr>
          <w:sz w:val="24"/>
        </w:rPr>
        <w:t>（六）数据真实假设：是假定申请人提供的委评资产的相关数据能真实反映其实际状况。</w:t>
      </w:r>
    </w:p>
    <w:p>
      <w:pPr>
        <w:spacing w:line="500" w:lineRule="exact"/>
        <w:ind w:firstLine="480" w:firstLineChars="200"/>
        <w:rPr>
          <w:sz w:val="24"/>
        </w:rPr>
      </w:pPr>
      <w:r>
        <w:rPr>
          <w:sz w:val="24"/>
        </w:rPr>
        <w:t>（七）假设委估对象不存在经济性和功能性贬值。</w:t>
      </w:r>
    </w:p>
    <w:p>
      <w:pPr>
        <w:spacing w:line="500" w:lineRule="exact"/>
        <w:ind w:firstLine="480" w:firstLineChars="200"/>
        <w:rPr>
          <w:rFonts w:hint="default" w:eastAsia="宋体"/>
          <w:sz w:val="24"/>
          <w:lang w:val="en-US" w:eastAsia="zh-CN"/>
        </w:rPr>
      </w:pPr>
      <w:r>
        <w:rPr>
          <w:rFonts w:hint="eastAsia"/>
          <w:sz w:val="24"/>
          <w:lang w:eastAsia="zh-CN"/>
        </w:rPr>
        <w:t>（</w:t>
      </w:r>
      <w:r>
        <w:rPr>
          <w:rFonts w:hint="eastAsia"/>
          <w:sz w:val="24"/>
          <w:lang w:val="en-US" w:eastAsia="zh-CN"/>
        </w:rPr>
        <w:t>八</w:t>
      </w:r>
      <w:r>
        <w:rPr>
          <w:rFonts w:hint="eastAsia"/>
          <w:sz w:val="24"/>
          <w:lang w:eastAsia="zh-CN"/>
        </w:rPr>
        <w:t>）</w:t>
      </w:r>
      <w:r>
        <w:rPr>
          <w:rFonts w:hint="eastAsia"/>
          <w:sz w:val="24"/>
          <w:lang w:val="en-US" w:eastAsia="zh-CN"/>
        </w:rPr>
        <w:t>假设贵公司收购委估对象后可以正常</w:t>
      </w:r>
      <w:r>
        <w:rPr>
          <w:rFonts w:hint="eastAsia"/>
          <w:sz w:val="24"/>
          <w:highlight w:val="none"/>
          <w:lang w:val="en-US" w:eastAsia="zh-CN"/>
        </w:rPr>
        <w:t>办理</w:t>
      </w:r>
      <w:r>
        <w:rPr>
          <w:rFonts w:hint="eastAsia"/>
          <w:sz w:val="24"/>
          <w:lang w:val="en-US" w:eastAsia="zh-CN"/>
        </w:rPr>
        <w:t>土地和厂房的产权证及相关法律文书，不需要支付额外费用。</w:t>
      </w:r>
    </w:p>
    <w:p>
      <w:pPr>
        <w:spacing w:line="500" w:lineRule="exact"/>
        <w:ind w:firstLine="480" w:firstLineChars="200"/>
        <w:rPr>
          <w:color w:val="FF0000"/>
          <w:sz w:val="24"/>
        </w:rPr>
      </w:pPr>
      <w:r>
        <w:rPr>
          <w:sz w:val="24"/>
        </w:rPr>
        <w:t>根据资产评估的要求，认定这些假设条件在评估基准日时成立，当未来经济环境发生较大变化时，或当出现与前述假设条件不一致的事项发生时，本评估结果一般会失效</w:t>
      </w:r>
      <w:r>
        <w:rPr>
          <w:color w:val="000000"/>
          <w:sz w:val="24"/>
        </w:rPr>
        <w:t>。</w:t>
      </w:r>
    </w:p>
    <w:p>
      <w:pPr>
        <w:pStyle w:val="3"/>
        <w:spacing w:line="500" w:lineRule="exact"/>
        <w:rPr>
          <w:rFonts w:ascii="Times New Roman" w:hAnsi="Times New Roman"/>
        </w:rPr>
      </w:pPr>
      <w:r>
        <w:rPr>
          <w:rFonts w:ascii="Times New Roman" w:hAnsi="Times New Roman"/>
        </w:rPr>
        <w:t xml:space="preserve">    </w:t>
      </w:r>
      <w:bookmarkStart w:id="26" w:name="_Toc27824"/>
      <w:r>
        <w:rPr>
          <w:rFonts w:ascii="Times New Roman" w:hAnsi="Times New Roman"/>
        </w:rPr>
        <w:t>十、评估结论</w:t>
      </w:r>
      <w:bookmarkEnd w:id="26"/>
    </w:p>
    <w:p>
      <w:pPr>
        <w:tabs>
          <w:tab w:val="left" w:pos="3045"/>
        </w:tabs>
        <w:spacing w:line="500" w:lineRule="exact"/>
        <w:ind w:right="28" w:firstLine="480" w:firstLineChars="200"/>
        <w:rPr>
          <w:rFonts w:hint="eastAsia" w:ascii="Times New Roman" w:hAnsi="Times New Roman" w:cs="Times New Roman"/>
          <w:b w:val="0"/>
          <w:bCs/>
          <w:sz w:val="24"/>
          <w:lang w:val="en-US" w:eastAsia="zh-CN"/>
        </w:rPr>
      </w:pPr>
      <w:bookmarkStart w:id="27" w:name="_Toc26207"/>
      <w:r>
        <w:rPr>
          <w:rFonts w:hint="default" w:ascii="Times New Roman" w:hAnsi="Times New Roman" w:cs="Times New Roman"/>
          <w:b w:val="0"/>
          <w:bCs/>
          <w:sz w:val="24"/>
          <w:lang w:val="en-US" w:eastAsia="zh-CN"/>
        </w:rPr>
        <w:t>1、</w:t>
      </w:r>
      <w:r>
        <w:rPr>
          <w:rFonts w:hint="eastAsia" w:ascii="Times New Roman" w:hAnsi="Times New Roman" w:cs="Times New Roman"/>
          <w:b w:val="0"/>
          <w:bCs/>
          <w:sz w:val="24"/>
          <w:lang w:val="en-US" w:eastAsia="zh-CN"/>
        </w:rPr>
        <w:t>资产基础法评估结果</w:t>
      </w:r>
    </w:p>
    <w:p>
      <w:pPr>
        <w:spacing w:line="500" w:lineRule="exact"/>
        <w:ind w:firstLine="480" w:firstLineChars="200"/>
        <w:rPr>
          <w:b w:val="0"/>
          <w:bCs w:val="0"/>
          <w:color w:val="000000"/>
          <w:kern w:val="0"/>
          <w:sz w:val="24"/>
        </w:rPr>
      </w:pPr>
      <w:r>
        <w:rPr>
          <w:color w:val="000000"/>
          <w:kern w:val="0"/>
          <w:sz w:val="24"/>
        </w:rPr>
        <w:t>经评估，于评估基准</w:t>
      </w:r>
      <w:r>
        <w:rPr>
          <w:rFonts w:hint="default" w:ascii="Times New Roman" w:hAnsi="Times New Roman" w:cs="Times New Roman"/>
          <w:color w:val="000000"/>
          <w:kern w:val="0"/>
          <w:sz w:val="24"/>
        </w:rPr>
        <w:t>日</w:t>
      </w:r>
      <w:r>
        <w:rPr>
          <w:rFonts w:hint="default" w:ascii="Times New Roman" w:hAnsi="Times New Roman" w:cs="Times New Roman"/>
          <w:color w:val="000000"/>
          <w:kern w:val="0"/>
          <w:sz w:val="24"/>
          <w:lang w:eastAsia="zh-CN"/>
        </w:rPr>
        <w:t>2021年01月08日</w:t>
      </w:r>
      <w:r>
        <w:rPr>
          <w:color w:val="000000"/>
          <w:kern w:val="0"/>
          <w:sz w:val="24"/>
        </w:rPr>
        <w:t>，</w:t>
      </w:r>
      <w:r>
        <w:rPr>
          <w:rFonts w:hint="eastAsia"/>
          <w:color w:val="000000"/>
          <w:kern w:val="0"/>
          <w:sz w:val="24"/>
          <w:lang w:eastAsia="zh-CN"/>
        </w:rPr>
        <w:t>江苏省剑丰农业实业有限公司</w:t>
      </w:r>
      <w:r>
        <w:rPr>
          <w:color w:val="000000"/>
          <w:kern w:val="0"/>
          <w:sz w:val="24"/>
        </w:rPr>
        <w:t>拟</w:t>
      </w:r>
      <w:r>
        <w:rPr>
          <w:rFonts w:hint="eastAsia"/>
          <w:color w:val="000000"/>
          <w:kern w:val="0"/>
          <w:sz w:val="24"/>
          <w:lang w:val="en-US" w:eastAsia="zh-CN"/>
        </w:rPr>
        <w:t>收购的</w:t>
      </w:r>
      <w:r>
        <w:rPr>
          <w:rFonts w:hint="eastAsia"/>
          <w:color w:val="000000"/>
          <w:kern w:val="0"/>
          <w:sz w:val="24"/>
          <w:lang w:eastAsia="zh-CN"/>
        </w:rPr>
        <w:t>盐城大丰天州机械制造有限公司所属</w:t>
      </w:r>
      <w:r>
        <w:rPr>
          <w:rFonts w:hint="eastAsia"/>
          <w:color w:val="000000"/>
          <w:kern w:val="0"/>
          <w:sz w:val="24"/>
          <w:lang w:val="en-US" w:eastAsia="zh-CN"/>
        </w:rPr>
        <w:t>房屋建筑物及土地使用权</w:t>
      </w:r>
      <w:r>
        <w:rPr>
          <w:color w:val="000000"/>
          <w:kern w:val="0"/>
          <w:sz w:val="24"/>
        </w:rPr>
        <w:t>在满足假设前提下的市场价值为</w:t>
      </w:r>
      <w:r>
        <w:rPr>
          <w:rFonts w:hint="default" w:ascii="Times New Roman" w:hAnsi="Times New Roman" w:cs="Times New Roman"/>
          <w:color w:val="000000"/>
          <w:kern w:val="0"/>
          <w:sz w:val="24"/>
        </w:rPr>
        <w:t>人民币</w:t>
      </w:r>
      <w:r>
        <w:rPr>
          <w:rFonts w:hint="eastAsia" w:ascii="Times New Roman" w:hAnsi="Times New Roman" w:cs="Times New Roman"/>
          <w:b w:val="0"/>
          <w:bCs w:val="0"/>
          <w:color w:val="000000"/>
          <w:kern w:val="0"/>
          <w:sz w:val="24"/>
          <w:lang w:val="en-US" w:eastAsia="zh-CN"/>
        </w:rPr>
        <w:t>16,660,754.00</w:t>
      </w:r>
      <w:r>
        <w:rPr>
          <w:rFonts w:hint="default" w:ascii="Times New Roman" w:hAnsi="Times New Roman" w:cs="Times New Roman"/>
          <w:b w:val="0"/>
          <w:bCs w:val="0"/>
          <w:color w:val="000000"/>
          <w:kern w:val="0"/>
          <w:sz w:val="24"/>
        </w:rPr>
        <w:t xml:space="preserve"> 元</w:t>
      </w:r>
      <w:r>
        <w:rPr>
          <w:b w:val="0"/>
          <w:bCs w:val="0"/>
          <w:color w:val="000000"/>
          <w:kern w:val="0"/>
          <w:sz w:val="24"/>
        </w:rPr>
        <w:t>（大写人民币：</w:t>
      </w:r>
      <w:r>
        <w:rPr>
          <w:rFonts w:hint="eastAsia"/>
          <w:b w:val="0"/>
          <w:bCs w:val="0"/>
          <w:color w:val="000000"/>
          <w:kern w:val="0"/>
          <w:sz w:val="24"/>
          <w:lang w:val="en-US" w:eastAsia="zh-CN"/>
        </w:rPr>
        <w:t>壹仟陆佰陆拾陆万零柒佰伍拾肆元整</w:t>
      </w:r>
      <w:r>
        <w:rPr>
          <w:b w:val="0"/>
          <w:bCs w:val="0"/>
          <w:color w:val="000000"/>
          <w:kern w:val="0"/>
          <w:sz w:val="24"/>
        </w:rPr>
        <w:t>）。</w:t>
      </w:r>
    </w:p>
    <w:p>
      <w:pPr>
        <w:numPr>
          <w:ilvl w:val="0"/>
          <w:numId w:val="2"/>
        </w:numPr>
        <w:tabs>
          <w:tab w:val="left" w:pos="3045"/>
        </w:tabs>
        <w:spacing w:line="500" w:lineRule="exact"/>
        <w:ind w:right="28" w:firstLine="480" w:firstLineChars="200"/>
        <w:rPr>
          <w:rFonts w:hint="default" w:ascii="Times New Roman" w:hAnsi="Times New Roman" w:cs="Times New Roman"/>
          <w:b w:val="0"/>
          <w:bCs/>
          <w:sz w:val="24"/>
          <w:lang w:val="en-US" w:eastAsia="zh-CN"/>
        </w:rPr>
      </w:pPr>
      <w:r>
        <w:rPr>
          <w:rFonts w:hint="eastAsia" w:ascii="Times New Roman" w:hAnsi="Times New Roman" w:cs="Times New Roman"/>
          <w:b w:val="0"/>
          <w:bCs/>
          <w:sz w:val="24"/>
          <w:lang w:val="en-US" w:eastAsia="zh-CN"/>
        </w:rPr>
        <w:t>收益法评估结果</w:t>
      </w:r>
    </w:p>
    <w:p>
      <w:pPr>
        <w:spacing w:line="500" w:lineRule="exact"/>
        <w:ind w:firstLine="480" w:firstLineChars="200"/>
        <w:rPr>
          <w:b w:val="0"/>
          <w:bCs w:val="0"/>
          <w:color w:val="000000"/>
          <w:kern w:val="0"/>
          <w:sz w:val="24"/>
        </w:rPr>
      </w:pPr>
      <w:r>
        <w:rPr>
          <w:color w:val="000000"/>
          <w:kern w:val="0"/>
          <w:sz w:val="24"/>
        </w:rPr>
        <w:t>经评估，于评估基准</w:t>
      </w:r>
      <w:r>
        <w:rPr>
          <w:rFonts w:hint="default" w:ascii="Times New Roman" w:hAnsi="Times New Roman" w:cs="Times New Roman"/>
          <w:color w:val="000000"/>
          <w:kern w:val="0"/>
          <w:sz w:val="24"/>
        </w:rPr>
        <w:t>日</w:t>
      </w:r>
      <w:r>
        <w:rPr>
          <w:rFonts w:hint="default" w:ascii="Times New Roman" w:hAnsi="Times New Roman" w:cs="Times New Roman"/>
          <w:color w:val="000000"/>
          <w:kern w:val="0"/>
          <w:sz w:val="24"/>
          <w:lang w:eastAsia="zh-CN"/>
        </w:rPr>
        <w:t>2021年01月08日</w:t>
      </w:r>
      <w:r>
        <w:rPr>
          <w:color w:val="000000"/>
          <w:kern w:val="0"/>
          <w:sz w:val="24"/>
        </w:rPr>
        <w:t>，</w:t>
      </w:r>
      <w:r>
        <w:rPr>
          <w:rFonts w:hint="eastAsia"/>
          <w:color w:val="000000"/>
          <w:kern w:val="0"/>
          <w:sz w:val="24"/>
          <w:lang w:eastAsia="zh-CN"/>
        </w:rPr>
        <w:t>江苏省剑丰农业实业有限公司</w:t>
      </w:r>
      <w:r>
        <w:rPr>
          <w:color w:val="000000"/>
          <w:kern w:val="0"/>
          <w:sz w:val="24"/>
        </w:rPr>
        <w:t>拟</w:t>
      </w:r>
      <w:r>
        <w:rPr>
          <w:rFonts w:hint="eastAsia"/>
          <w:color w:val="000000"/>
          <w:kern w:val="0"/>
          <w:sz w:val="24"/>
          <w:lang w:val="en-US" w:eastAsia="zh-CN"/>
        </w:rPr>
        <w:t>收购的</w:t>
      </w:r>
      <w:r>
        <w:rPr>
          <w:rFonts w:hint="eastAsia"/>
          <w:color w:val="000000"/>
          <w:kern w:val="0"/>
          <w:sz w:val="24"/>
          <w:lang w:eastAsia="zh-CN"/>
        </w:rPr>
        <w:t>盐城大丰天州机械制造有限公司所属</w:t>
      </w:r>
      <w:r>
        <w:rPr>
          <w:rFonts w:hint="eastAsia"/>
          <w:color w:val="000000"/>
          <w:kern w:val="0"/>
          <w:sz w:val="24"/>
          <w:lang w:val="en-US" w:eastAsia="zh-CN"/>
        </w:rPr>
        <w:t>房屋建筑物及土地使用权</w:t>
      </w:r>
      <w:r>
        <w:rPr>
          <w:color w:val="000000"/>
          <w:kern w:val="0"/>
          <w:sz w:val="24"/>
        </w:rPr>
        <w:t>在满足假设前提下的市场价值为</w:t>
      </w:r>
      <w:r>
        <w:rPr>
          <w:rFonts w:hint="default" w:ascii="Times New Roman" w:hAnsi="Times New Roman" w:cs="Times New Roman"/>
          <w:color w:val="000000"/>
          <w:kern w:val="0"/>
          <w:sz w:val="24"/>
        </w:rPr>
        <w:t>人民币</w:t>
      </w:r>
      <w:r>
        <w:rPr>
          <w:rFonts w:hint="eastAsia" w:ascii="Times New Roman" w:hAnsi="Times New Roman" w:cs="Times New Roman"/>
          <w:b w:val="0"/>
          <w:bCs w:val="0"/>
          <w:color w:val="000000"/>
          <w:kern w:val="0"/>
          <w:sz w:val="24"/>
          <w:lang w:val="en-US" w:eastAsia="zh-CN"/>
        </w:rPr>
        <w:t>16,623,062.00</w:t>
      </w:r>
      <w:r>
        <w:rPr>
          <w:rFonts w:hint="default" w:ascii="Times New Roman" w:hAnsi="Times New Roman" w:cs="Times New Roman"/>
          <w:b w:val="0"/>
          <w:bCs w:val="0"/>
          <w:color w:val="000000"/>
          <w:kern w:val="0"/>
          <w:sz w:val="24"/>
        </w:rPr>
        <w:t>元</w:t>
      </w:r>
      <w:r>
        <w:rPr>
          <w:b w:val="0"/>
          <w:bCs w:val="0"/>
          <w:color w:val="000000"/>
          <w:kern w:val="0"/>
          <w:sz w:val="24"/>
        </w:rPr>
        <w:t>（大写人民币：</w:t>
      </w:r>
      <w:r>
        <w:rPr>
          <w:rFonts w:hint="eastAsia"/>
          <w:b w:val="0"/>
          <w:bCs w:val="0"/>
          <w:color w:val="000000"/>
          <w:kern w:val="0"/>
          <w:sz w:val="24"/>
          <w:lang w:val="en-US" w:eastAsia="zh-CN"/>
        </w:rPr>
        <w:t>壹仟陆佰陆拾贰万叁仟零陆拾贰元整</w:t>
      </w:r>
      <w:r>
        <w:rPr>
          <w:b w:val="0"/>
          <w:bCs w:val="0"/>
          <w:color w:val="000000"/>
          <w:kern w:val="0"/>
          <w:sz w:val="24"/>
        </w:rPr>
        <w:t>）。</w:t>
      </w:r>
    </w:p>
    <w:p>
      <w:pPr>
        <w:numPr>
          <w:ilvl w:val="0"/>
          <w:numId w:val="2"/>
        </w:numPr>
        <w:tabs>
          <w:tab w:val="left" w:pos="3045"/>
        </w:tabs>
        <w:spacing w:line="500" w:lineRule="exact"/>
        <w:ind w:right="28" w:firstLine="480" w:firstLineChars="200"/>
        <w:rPr>
          <w:rFonts w:hint="default" w:ascii="Times New Roman" w:hAnsi="Times New Roman" w:cs="Times New Roman"/>
          <w:b w:val="0"/>
          <w:bCs/>
          <w:sz w:val="24"/>
          <w:lang w:val="en-US" w:eastAsia="zh-CN"/>
        </w:rPr>
      </w:pPr>
      <w:r>
        <w:rPr>
          <w:rFonts w:hint="default" w:ascii="Times New Roman" w:hAnsi="Times New Roman" w:cs="Times New Roman"/>
          <w:b w:val="0"/>
          <w:bCs/>
          <w:sz w:val="24"/>
          <w:lang w:val="en-US" w:eastAsia="zh-CN"/>
        </w:rPr>
        <w:t>两种评估方法得出结果的比较与分析</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如前所述，采用资产基础法和收益法两种评估方法</w:t>
      </w:r>
      <w:r>
        <w:rPr>
          <w:rFonts w:hint="eastAsia" w:ascii="Times New Roman" w:hAnsi="Times New Roman" w:cs="Times New Roman"/>
          <w:color w:val="000000"/>
          <w:sz w:val="24"/>
          <w:lang w:val="en-US" w:eastAsia="zh-CN"/>
        </w:rPr>
        <w:t>得到</w:t>
      </w:r>
      <w:r>
        <w:rPr>
          <w:rFonts w:hint="default" w:ascii="Times New Roman" w:hAnsi="Times New Roman" w:cs="Times New Roman"/>
          <w:color w:val="000000"/>
          <w:sz w:val="24"/>
        </w:rPr>
        <w:t>的评估结果差异</w:t>
      </w:r>
      <w:r>
        <w:rPr>
          <w:rFonts w:hint="eastAsia" w:ascii="Times New Roman" w:hAnsi="Times New Roman" w:cs="Times New Roman"/>
          <w:color w:val="000000"/>
          <w:sz w:val="24"/>
          <w:lang w:val="en-US" w:eastAsia="zh-CN"/>
        </w:rPr>
        <w:t>37,692.00元</w:t>
      </w:r>
      <w:r>
        <w:rPr>
          <w:rFonts w:hint="default" w:ascii="Times New Roman" w:hAnsi="Times New Roman" w:cs="Times New Roman"/>
          <w:color w:val="000000"/>
          <w:sz w:val="24"/>
        </w:rPr>
        <w:t>，差异率为</w:t>
      </w:r>
      <w:r>
        <w:rPr>
          <w:rFonts w:hint="eastAsia" w:ascii="Times New Roman" w:hAnsi="Times New Roman" w:cs="Times New Roman"/>
          <w:color w:val="000000"/>
          <w:sz w:val="24"/>
          <w:lang w:val="en-US" w:eastAsia="zh-CN"/>
        </w:rPr>
        <w:t>0.23</w:t>
      </w:r>
      <w:r>
        <w:rPr>
          <w:rFonts w:hint="default" w:ascii="Times New Roman" w:hAnsi="Times New Roman" w:cs="Times New Roman"/>
          <w:color w:val="000000"/>
          <w:sz w:val="24"/>
          <w:lang w:val="en-US" w:eastAsia="zh-CN"/>
        </w:rPr>
        <w:t>%</w:t>
      </w:r>
      <w:r>
        <w:rPr>
          <w:rFonts w:hint="default" w:ascii="Times New Roman" w:hAnsi="Times New Roman" w:cs="Times New Roman"/>
          <w:color w:val="000000"/>
          <w:sz w:val="24"/>
        </w:rPr>
        <w:t>（存在尾数误差）。</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cs="Times New Roman"/>
          <w:color w:val="000000"/>
          <w:sz w:val="24"/>
          <w:lang w:val="en-US" w:eastAsia="zh-CN"/>
        </w:rPr>
      </w:pPr>
      <w:r>
        <w:rPr>
          <w:rFonts w:hint="eastAsia"/>
          <w:sz w:val="24"/>
          <w:highlight w:val="none"/>
          <w:lang w:val="en-US" w:eastAsia="zh-CN"/>
        </w:rPr>
        <w:t>综合以上分析，资产基础法评估值与收益法评估值相差不大，无论是资产基础法，还是收益法都是符合评估规范的要求，所以资产基础法与市场发所得出的评估值都是合理的，故选取二者均值最为最终评估值。</w:t>
      </w:r>
    </w:p>
    <w:p>
      <w:pPr>
        <w:numPr>
          <w:ilvl w:val="0"/>
          <w:numId w:val="2"/>
        </w:numPr>
        <w:tabs>
          <w:tab w:val="left" w:pos="3045"/>
        </w:tabs>
        <w:spacing w:line="500" w:lineRule="exact"/>
        <w:ind w:right="28" w:firstLine="480" w:firstLineChars="200"/>
        <w:rPr>
          <w:rFonts w:hint="default" w:ascii="Times New Roman" w:hAnsi="Times New Roman" w:cs="Times New Roman"/>
          <w:b w:val="0"/>
          <w:bCs/>
          <w:sz w:val="24"/>
          <w:lang w:val="en-US" w:eastAsia="zh-CN"/>
        </w:rPr>
      </w:pPr>
      <w:r>
        <w:rPr>
          <w:rFonts w:hint="eastAsia" w:ascii="Times New Roman" w:hAnsi="Times New Roman" w:cs="Times New Roman"/>
          <w:b w:val="0"/>
          <w:bCs/>
          <w:sz w:val="24"/>
          <w:lang w:val="en-US" w:eastAsia="zh-CN"/>
        </w:rPr>
        <w:t>最终评估结论</w:t>
      </w:r>
    </w:p>
    <w:p>
      <w:pPr>
        <w:spacing w:line="500" w:lineRule="exact"/>
        <w:ind w:firstLine="480" w:firstLineChars="200"/>
        <w:rPr>
          <w:color w:val="000000"/>
          <w:kern w:val="0"/>
          <w:sz w:val="24"/>
        </w:rPr>
      </w:pPr>
      <w:r>
        <w:rPr>
          <w:color w:val="000000"/>
          <w:kern w:val="0"/>
          <w:sz w:val="24"/>
        </w:rPr>
        <w:t>经评估，于评估基准</w:t>
      </w:r>
      <w:r>
        <w:rPr>
          <w:rFonts w:hint="default" w:ascii="Times New Roman" w:hAnsi="Times New Roman" w:cs="Times New Roman"/>
          <w:color w:val="000000"/>
          <w:kern w:val="0"/>
          <w:sz w:val="24"/>
        </w:rPr>
        <w:t>日</w:t>
      </w:r>
      <w:r>
        <w:rPr>
          <w:rFonts w:hint="default" w:ascii="Times New Roman" w:hAnsi="Times New Roman" w:cs="Times New Roman"/>
          <w:color w:val="000000"/>
          <w:kern w:val="0"/>
          <w:sz w:val="24"/>
          <w:lang w:eastAsia="zh-CN"/>
        </w:rPr>
        <w:t>2021年01月08日</w:t>
      </w:r>
      <w:r>
        <w:rPr>
          <w:color w:val="000000"/>
          <w:kern w:val="0"/>
          <w:sz w:val="24"/>
        </w:rPr>
        <w:t>，</w:t>
      </w:r>
      <w:r>
        <w:rPr>
          <w:rFonts w:hint="eastAsia"/>
          <w:color w:val="000000"/>
          <w:kern w:val="0"/>
          <w:sz w:val="24"/>
          <w:lang w:eastAsia="zh-CN"/>
        </w:rPr>
        <w:t>江苏省剑丰农业实业有限公司</w:t>
      </w:r>
      <w:r>
        <w:rPr>
          <w:color w:val="000000"/>
          <w:kern w:val="0"/>
          <w:sz w:val="24"/>
        </w:rPr>
        <w:t>拟</w:t>
      </w:r>
      <w:r>
        <w:rPr>
          <w:rFonts w:hint="eastAsia"/>
          <w:color w:val="000000"/>
          <w:kern w:val="0"/>
          <w:sz w:val="24"/>
          <w:lang w:val="en-US" w:eastAsia="zh-CN"/>
        </w:rPr>
        <w:t>收购的</w:t>
      </w:r>
      <w:r>
        <w:rPr>
          <w:rFonts w:hint="eastAsia"/>
          <w:color w:val="000000"/>
          <w:kern w:val="0"/>
          <w:sz w:val="24"/>
          <w:lang w:eastAsia="zh-CN"/>
        </w:rPr>
        <w:t>盐城大丰天州机械制造有限公司所属</w:t>
      </w:r>
      <w:r>
        <w:rPr>
          <w:rFonts w:hint="eastAsia"/>
          <w:color w:val="000000"/>
          <w:kern w:val="0"/>
          <w:sz w:val="24"/>
          <w:lang w:val="en-US" w:eastAsia="zh-CN"/>
        </w:rPr>
        <w:t>房屋建筑物及土地使用权</w:t>
      </w:r>
      <w:r>
        <w:rPr>
          <w:color w:val="000000"/>
          <w:kern w:val="0"/>
          <w:sz w:val="24"/>
        </w:rPr>
        <w:t>在满足假设前提下的市场价值为</w:t>
      </w:r>
      <w:r>
        <w:rPr>
          <w:rFonts w:hint="default" w:ascii="Times New Roman" w:hAnsi="Times New Roman" w:cs="Times New Roman"/>
          <w:color w:val="000000"/>
          <w:kern w:val="0"/>
          <w:sz w:val="24"/>
        </w:rPr>
        <w:t>人民币</w:t>
      </w:r>
      <w:r>
        <w:rPr>
          <w:rFonts w:hint="eastAsia" w:ascii="Times New Roman" w:hAnsi="Times New Roman" w:cs="Times New Roman"/>
          <w:b/>
          <w:bCs/>
          <w:color w:val="000000"/>
          <w:kern w:val="0"/>
          <w:sz w:val="24"/>
          <w:lang w:val="en-US" w:eastAsia="zh-CN"/>
        </w:rPr>
        <w:t>16,641,908.00</w:t>
      </w:r>
      <w:r>
        <w:rPr>
          <w:rFonts w:hint="default" w:ascii="Times New Roman" w:hAnsi="Times New Roman" w:cs="Times New Roman"/>
          <w:b/>
          <w:bCs/>
          <w:color w:val="000000"/>
          <w:kern w:val="0"/>
          <w:sz w:val="24"/>
        </w:rPr>
        <w:t xml:space="preserve"> 元</w:t>
      </w:r>
      <w:r>
        <w:rPr>
          <w:b/>
          <w:bCs/>
          <w:color w:val="000000"/>
          <w:kern w:val="0"/>
          <w:sz w:val="24"/>
        </w:rPr>
        <w:t>（大写人民币：</w:t>
      </w:r>
      <w:r>
        <w:rPr>
          <w:rFonts w:hint="eastAsia"/>
          <w:b/>
          <w:bCs/>
          <w:color w:val="000000"/>
          <w:kern w:val="0"/>
          <w:sz w:val="24"/>
          <w:lang w:val="en-US" w:eastAsia="zh-CN"/>
        </w:rPr>
        <w:t>壹仟陆佰陆拾肆万壹仟玖佰零捌元整</w:t>
      </w:r>
      <w:r>
        <w:rPr>
          <w:b/>
          <w:bCs/>
          <w:color w:val="000000"/>
          <w:kern w:val="0"/>
          <w:sz w:val="24"/>
        </w:rPr>
        <w:t>）</w:t>
      </w:r>
      <w:r>
        <w:rPr>
          <w:color w:val="000000"/>
          <w:kern w:val="0"/>
          <w:sz w:val="24"/>
        </w:rPr>
        <w:t>。</w:t>
      </w:r>
    </w:p>
    <w:p>
      <w:pPr>
        <w:spacing w:line="500" w:lineRule="exact"/>
        <w:ind w:firstLine="480" w:firstLineChars="200"/>
        <w:rPr>
          <w:sz w:val="24"/>
        </w:rPr>
      </w:pPr>
      <w:r>
        <w:rPr>
          <w:sz w:val="24"/>
        </w:rPr>
        <w:t>资产评估结果详见附件</w:t>
      </w:r>
      <w:r>
        <w:rPr>
          <w:rFonts w:hint="eastAsia"/>
          <w:sz w:val="24"/>
          <w:lang w:eastAsia="zh-CN"/>
        </w:rPr>
        <w:t>“</w:t>
      </w:r>
      <w:r>
        <w:rPr>
          <w:rFonts w:hint="eastAsia" w:ascii="宋体" w:hAnsi="宋体" w:eastAsia="宋体" w:cs="宋体"/>
          <w:sz w:val="24"/>
          <w:lang w:eastAsia="zh-CN"/>
        </w:rPr>
        <w:t>资产评估汇总及明细表</w:t>
      </w:r>
      <w:r>
        <w:rPr>
          <w:rFonts w:hint="eastAsia"/>
          <w:sz w:val="24"/>
          <w:lang w:eastAsia="zh-CN"/>
        </w:rPr>
        <w:t>”</w:t>
      </w:r>
      <w:r>
        <w:rPr>
          <w:sz w:val="24"/>
        </w:rPr>
        <w:t>。</w:t>
      </w:r>
    </w:p>
    <w:p>
      <w:pPr>
        <w:tabs>
          <w:tab w:val="left" w:pos="3045"/>
        </w:tabs>
        <w:spacing w:line="500" w:lineRule="exact"/>
        <w:ind w:right="28" w:firstLine="482" w:firstLineChars="200"/>
        <w:rPr>
          <w:color w:val="000000"/>
          <w:kern w:val="0"/>
          <w:sz w:val="24"/>
        </w:rPr>
      </w:pPr>
      <w:r>
        <w:rPr>
          <w:b/>
          <w:sz w:val="24"/>
        </w:rPr>
        <w:t>以上评估结论是在一定的前提条件下成立的，评估报告使用者应当充分考虑评估报告中载明的假设、限定条件、特别事项说明及其对评估结论的影响。</w:t>
      </w:r>
    </w:p>
    <w:p>
      <w:pPr>
        <w:pStyle w:val="3"/>
        <w:spacing w:line="500" w:lineRule="exact"/>
        <w:ind w:firstLine="472" w:firstLineChars="196"/>
        <w:rPr>
          <w:rFonts w:ascii="Times New Roman" w:hAnsi="Times New Roman"/>
        </w:rPr>
      </w:pPr>
      <w:r>
        <w:rPr>
          <w:rFonts w:ascii="Times New Roman" w:hAnsi="Times New Roman"/>
        </w:rPr>
        <w:t>十一、 特别事项说明</w:t>
      </w:r>
      <w:bookmarkEnd w:id="27"/>
    </w:p>
    <w:p>
      <w:pPr>
        <w:spacing w:line="500" w:lineRule="exact"/>
        <w:ind w:firstLine="523" w:firstLineChars="218"/>
        <w:rPr>
          <w:rFonts w:hint="eastAsia"/>
          <w:sz w:val="24"/>
        </w:rPr>
      </w:pPr>
      <w:bookmarkStart w:id="28" w:name="_Toc21146"/>
      <w:r>
        <w:rPr>
          <w:rFonts w:hint="eastAsia"/>
          <w:sz w:val="24"/>
        </w:rPr>
        <w:t>（一）本评估报告是在委托人及相关当事方人提供基础文件数据资料的基础上做出的。提供必要的资料并保证所提供的资料的真实性、合法性、完整性是委托人及相关当事方人的责任；资产评估专业人员的责任是对评估对象在评估基准日特定目的下的价值进行分析、估算并发表专业意见。</w:t>
      </w:r>
    </w:p>
    <w:p>
      <w:pPr>
        <w:spacing w:line="500" w:lineRule="exact"/>
        <w:ind w:firstLine="523" w:firstLineChars="218"/>
        <w:rPr>
          <w:rFonts w:hint="eastAsia"/>
          <w:sz w:val="24"/>
        </w:rPr>
      </w:pPr>
      <w:r>
        <w:rPr>
          <w:rFonts w:hint="eastAsia"/>
          <w:sz w:val="24"/>
        </w:rPr>
        <w:t>（二）委托人及相关当事方人对所提供的评估对象法律权属等资料的真实性、合法性和完整性承担责任；资产评估专业人员的责任是对该资料及其来源进行必要的查验和披露，不代表对本次委估资产的权属提供任何保证。对评估对象法律权属进行确认或发表意见超出资产评估专业人员执业范围。</w:t>
      </w:r>
    </w:p>
    <w:p>
      <w:pPr>
        <w:spacing w:line="500" w:lineRule="exact"/>
        <w:ind w:firstLine="523" w:firstLineChars="218"/>
        <w:rPr>
          <w:rFonts w:hint="eastAsia"/>
          <w:sz w:val="24"/>
        </w:rPr>
      </w:pPr>
      <w:r>
        <w:rPr>
          <w:rFonts w:hint="eastAsia"/>
          <w:sz w:val="24"/>
        </w:rPr>
        <w:t>（三）本次评估房屋建筑物未取得产权证、土地未取得使用权证，房屋建筑面积是根据委托人提供的房屋建筑设计图纸确定的，土地面积是根据委托人提供的土地出让合同确定的，本次评估面积与实际面积可能存在一定的误差，具体以权威部门认定为准；提请报告使用者关注其对评估结论的影响。</w:t>
      </w:r>
    </w:p>
    <w:p>
      <w:pPr>
        <w:spacing w:line="500" w:lineRule="exact"/>
        <w:ind w:firstLine="523" w:firstLineChars="218"/>
        <w:rPr>
          <w:rFonts w:hint="eastAsia"/>
          <w:sz w:val="24"/>
        </w:rPr>
      </w:pPr>
      <w:r>
        <w:rPr>
          <w:rFonts w:hint="eastAsia"/>
          <w:sz w:val="24"/>
        </w:rPr>
        <w:t>（四）本次评估过程中，没有使用专用仪器对房屋建筑物进行进一步的鉴定，评估结论也是在此基础上得出的。</w:t>
      </w:r>
    </w:p>
    <w:p>
      <w:pPr>
        <w:spacing w:line="500" w:lineRule="exact"/>
        <w:ind w:firstLine="523" w:firstLineChars="218"/>
        <w:rPr>
          <w:rFonts w:hint="eastAsia"/>
          <w:sz w:val="24"/>
        </w:rPr>
      </w:pPr>
      <w:r>
        <w:rPr>
          <w:rFonts w:hint="eastAsia"/>
          <w:sz w:val="24"/>
        </w:rPr>
        <w:t>（五）本评估结论不应当被认为是对评估对象可实现价格的保证。</w:t>
      </w:r>
    </w:p>
    <w:p>
      <w:pPr>
        <w:spacing w:line="500" w:lineRule="exact"/>
        <w:ind w:firstLine="523" w:firstLineChars="218"/>
        <w:rPr>
          <w:sz w:val="24"/>
        </w:rPr>
      </w:pPr>
      <w:r>
        <w:rPr>
          <w:rFonts w:hint="eastAsia"/>
          <w:sz w:val="24"/>
        </w:rPr>
        <w:t>（六）本次评估中，待估资产于基准日尚未取得房屋产权证及土地使用权证，评估测算时假设待估资产已取得房屋产权证及土地使用权证，产权完整。</w:t>
      </w:r>
    </w:p>
    <w:p>
      <w:pPr>
        <w:pStyle w:val="3"/>
        <w:spacing w:line="500" w:lineRule="exact"/>
        <w:ind w:firstLine="472" w:firstLineChars="196"/>
        <w:rPr>
          <w:rFonts w:ascii="Times New Roman" w:hAnsi="Times New Roman"/>
        </w:rPr>
      </w:pPr>
      <w:r>
        <w:rPr>
          <w:rFonts w:ascii="Times New Roman" w:hAnsi="Times New Roman"/>
        </w:rPr>
        <w:t>十二、资产评估报告使用限制说明</w:t>
      </w:r>
      <w:bookmarkEnd w:id="28"/>
      <w:r>
        <w:rPr>
          <w:rFonts w:ascii="Times New Roman" w:hAnsi="Times New Roman"/>
        </w:rPr>
        <w:tab/>
      </w:r>
    </w:p>
    <w:p>
      <w:pPr>
        <w:tabs>
          <w:tab w:val="left" w:pos="3045"/>
        </w:tabs>
        <w:spacing w:line="500" w:lineRule="exact"/>
        <w:ind w:right="28" w:firstLine="480" w:firstLineChars="200"/>
        <w:rPr>
          <w:sz w:val="24"/>
        </w:rPr>
      </w:pPr>
      <w:r>
        <w:rPr>
          <w:sz w:val="24"/>
        </w:rPr>
        <w:t>（一）本评估报告只能由评估报告载明的评估报告使用者使用，且只能用于评估报告载明的评估目的和用途。</w:t>
      </w:r>
    </w:p>
    <w:p>
      <w:pPr>
        <w:tabs>
          <w:tab w:val="left" w:pos="3045"/>
        </w:tabs>
        <w:spacing w:line="500" w:lineRule="exact"/>
        <w:ind w:right="28" w:firstLine="480" w:firstLineChars="200"/>
        <w:rPr>
          <w:sz w:val="24"/>
        </w:rPr>
      </w:pPr>
      <w:r>
        <w:rPr>
          <w:sz w:val="24"/>
        </w:rPr>
        <w:t>（二）委托人或者其他资产评估报告使用人未按照法律、行政法规规定和本资产评估报告载明的使用范围使用资产评估报告的，本资产评估机构及其资产评估专业人员不承担责任。</w:t>
      </w:r>
    </w:p>
    <w:p>
      <w:pPr>
        <w:tabs>
          <w:tab w:val="left" w:pos="3045"/>
        </w:tabs>
        <w:spacing w:line="500" w:lineRule="exact"/>
        <w:ind w:right="28" w:firstLine="480" w:firstLineChars="200"/>
        <w:rPr>
          <w:sz w:val="24"/>
        </w:rPr>
      </w:pPr>
      <w:r>
        <w:rPr>
          <w:sz w:val="24"/>
        </w:rPr>
        <w:t>（三）除委托人、资产评估委托合同中约定的其他资产评估报告使用人和法律、行政法规规定的资产评估报告使用人之外，其他任何机构和个人不能成为本资产评估报告的使用人。</w:t>
      </w:r>
    </w:p>
    <w:p>
      <w:pPr>
        <w:tabs>
          <w:tab w:val="left" w:pos="3045"/>
        </w:tabs>
        <w:spacing w:line="500" w:lineRule="exact"/>
        <w:ind w:right="28" w:firstLine="480" w:firstLineChars="200"/>
        <w:rPr>
          <w:sz w:val="24"/>
        </w:rPr>
      </w:pPr>
      <w:r>
        <w:rPr>
          <w:sz w:val="24"/>
        </w:rPr>
        <w:t>（四）本资产评估报告使用人应当正确理解和使用评估结论。评估结论不等同于评估对象可实现价格，评估结论不应当被认为是对评估对象可实现价格的保证。</w:t>
      </w:r>
    </w:p>
    <w:p>
      <w:pPr>
        <w:spacing w:line="500" w:lineRule="exact"/>
        <w:ind w:firstLine="480"/>
        <w:jc w:val="left"/>
        <w:rPr>
          <w:bCs/>
          <w:sz w:val="24"/>
        </w:rPr>
      </w:pPr>
      <w:r>
        <w:rPr>
          <w:bCs/>
          <w:sz w:val="24"/>
        </w:rPr>
        <w:t>（五）除法律、法规规定以及相关当事方人另有约定外，未征得我所书面同意，评估报告的内容不得被摘抄、引用或披露于公开媒体。</w:t>
      </w:r>
    </w:p>
    <w:p>
      <w:pPr>
        <w:tabs>
          <w:tab w:val="left" w:pos="3045"/>
        </w:tabs>
        <w:spacing w:line="500" w:lineRule="exact"/>
        <w:ind w:right="28" w:firstLine="480" w:firstLineChars="200"/>
        <w:rPr>
          <w:sz w:val="24"/>
        </w:rPr>
      </w:pPr>
      <w:r>
        <w:rPr>
          <w:bCs/>
          <w:sz w:val="24"/>
        </w:rPr>
        <w:t>（六）</w:t>
      </w:r>
      <w:r>
        <w:rPr>
          <w:sz w:val="24"/>
        </w:rPr>
        <w:t>本评估报告的使用有效期原则上为自评估基准日起一年，</w:t>
      </w:r>
      <w:r>
        <w:rPr>
          <w:rFonts w:hint="default" w:ascii="Times New Roman" w:hAnsi="Times New Roman" w:cs="Times New Roman"/>
          <w:sz w:val="24"/>
        </w:rPr>
        <w:t>即从</w:t>
      </w:r>
      <w:r>
        <w:rPr>
          <w:rFonts w:hint="default" w:ascii="Times New Roman" w:hAnsi="Times New Roman" w:cs="Times New Roman"/>
          <w:sz w:val="24"/>
          <w:lang w:eastAsia="zh-CN"/>
        </w:rPr>
        <w:t>2021年01月08日</w:t>
      </w:r>
      <w:r>
        <w:rPr>
          <w:rFonts w:hint="default" w:ascii="Times New Roman" w:hAnsi="Times New Roman" w:cs="Times New Roman"/>
          <w:sz w:val="24"/>
        </w:rPr>
        <w:t>起至</w:t>
      </w:r>
      <w:r>
        <w:rPr>
          <w:rFonts w:hint="default" w:ascii="Times New Roman" w:hAnsi="Times New Roman" w:cs="Times New Roman"/>
          <w:sz w:val="24"/>
          <w:lang w:eastAsia="zh-CN"/>
        </w:rPr>
        <w:t>2022年01月07</w:t>
      </w:r>
      <w:r>
        <w:rPr>
          <w:rFonts w:hint="eastAsia"/>
          <w:sz w:val="24"/>
          <w:lang w:eastAsia="zh-CN"/>
        </w:rPr>
        <w:t>日</w:t>
      </w:r>
      <w:r>
        <w:rPr>
          <w:sz w:val="24"/>
        </w:rPr>
        <w:t>的期限内有效。</w:t>
      </w:r>
    </w:p>
    <w:p>
      <w:pPr>
        <w:tabs>
          <w:tab w:val="left" w:pos="3045"/>
        </w:tabs>
        <w:spacing w:line="500" w:lineRule="exact"/>
        <w:ind w:right="28" w:firstLine="480" w:firstLineChars="200"/>
        <w:rPr>
          <w:sz w:val="24"/>
        </w:rPr>
      </w:pPr>
      <w:r>
        <w:rPr>
          <w:sz w:val="24"/>
        </w:rPr>
        <w:t>如果资产状况、市场状况与评估基准日相关状况相比发生重大变化，委托人应当委托评估机构执行评估更新业务或重新评估。</w:t>
      </w:r>
    </w:p>
    <w:p>
      <w:pPr>
        <w:pStyle w:val="3"/>
        <w:spacing w:line="500" w:lineRule="exact"/>
        <w:ind w:firstLine="472" w:firstLineChars="196"/>
        <w:rPr>
          <w:rFonts w:ascii="Times New Roman" w:hAnsi="Times New Roman"/>
        </w:rPr>
      </w:pPr>
      <w:bookmarkStart w:id="29" w:name="_Toc15423"/>
      <w:r>
        <w:rPr>
          <w:rFonts w:ascii="Times New Roman" w:hAnsi="Times New Roman"/>
        </w:rPr>
        <w:t>十三、资产评估报告日</w:t>
      </w:r>
      <w:bookmarkEnd w:id="29"/>
    </w:p>
    <w:p>
      <w:pPr>
        <w:spacing w:line="500" w:lineRule="exact"/>
        <w:ind w:firstLine="480" w:firstLineChars="200"/>
        <w:jc w:val="left"/>
        <w:rPr>
          <w:sz w:val="24"/>
        </w:rPr>
      </w:pPr>
      <w:r>
        <w:rPr>
          <w:sz w:val="24"/>
        </w:rPr>
        <w:t>评估报告日为</w:t>
      </w:r>
      <w:r>
        <w:rPr>
          <w:rFonts w:hint="default" w:ascii="Times New Roman" w:hAnsi="Times New Roman" w:cs="Times New Roman"/>
          <w:sz w:val="24"/>
        </w:rPr>
        <w:t>：</w:t>
      </w:r>
      <w:r>
        <w:rPr>
          <w:rFonts w:hint="default" w:ascii="Times New Roman" w:hAnsi="Times New Roman" w:cs="Times New Roman"/>
          <w:sz w:val="24"/>
          <w:lang w:eastAsia="zh-CN"/>
        </w:rPr>
        <w:t>2021年01月11</w:t>
      </w:r>
      <w:r>
        <w:rPr>
          <w:rFonts w:hint="eastAsia"/>
          <w:sz w:val="24"/>
          <w:lang w:eastAsia="zh-CN"/>
        </w:rPr>
        <w:t>日</w:t>
      </w:r>
      <w:r>
        <w:rPr>
          <w:sz w:val="24"/>
        </w:rPr>
        <w:t>。</w:t>
      </w:r>
    </w:p>
    <w:p>
      <w:pPr>
        <w:pStyle w:val="3"/>
        <w:spacing w:line="500" w:lineRule="exact"/>
        <w:rPr>
          <w:rFonts w:ascii="Times New Roman" w:hAnsi="Times New Roman"/>
        </w:rPr>
      </w:pPr>
      <w:r>
        <w:rPr>
          <w:rFonts w:ascii="Times New Roman" w:hAnsi="Times New Roman"/>
        </w:rPr>
        <w:t xml:space="preserve"> </w:t>
      </w:r>
      <w:bookmarkStart w:id="30" w:name="_Toc21928"/>
      <w:bookmarkStart w:id="31" w:name="_Toc31081"/>
      <w:r>
        <w:rPr>
          <w:rFonts w:ascii="Times New Roman" w:hAnsi="Times New Roman"/>
        </w:rPr>
        <w:t xml:space="preserve">   </w:t>
      </w:r>
      <w:bookmarkStart w:id="32" w:name="_Toc1472"/>
      <w:r>
        <w:rPr>
          <w:rFonts w:ascii="Times New Roman" w:hAnsi="Times New Roman"/>
        </w:rPr>
        <w:t>十四、资产评估</w:t>
      </w:r>
      <w:bookmarkEnd w:id="30"/>
      <w:bookmarkEnd w:id="31"/>
      <w:r>
        <w:rPr>
          <w:rFonts w:ascii="Times New Roman" w:hAnsi="Times New Roman"/>
        </w:rPr>
        <w:t>专业人员签名和资产评估机构印章</w:t>
      </w:r>
      <w:bookmarkEnd w:id="32"/>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r>
        <w:rPr>
          <w:b/>
          <w:sz w:val="24"/>
        </w:rPr>
        <w:t xml:space="preserve"> 资产评估专业人员：</w:t>
      </w:r>
    </w:p>
    <w:p>
      <w:pPr>
        <w:spacing w:line="360" w:lineRule="auto"/>
        <w:rPr>
          <w:b/>
          <w:sz w:val="24"/>
        </w:rPr>
      </w:pPr>
    </w:p>
    <w:p>
      <w:pPr>
        <w:spacing w:line="360" w:lineRule="auto"/>
        <w:rPr>
          <w:b/>
          <w:sz w:val="24"/>
        </w:rPr>
      </w:pPr>
    </w:p>
    <w:p>
      <w:pPr>
        <w:spacing w:line="360" w:lineRule="auto"/>
        <w:rPr>
          <w:b/>
          <w:sz w:val="24"/>
        </w:rPr>
      </w:pPr>
    </w:p>
    <w:p>
      <w:pPr>
        <w:spacing w:line="360" w:lineRule="auto"/>
        <w:rPr>
          <w:rFonts w:hint="eastAsia" w:eastAsia="宋体"/>
          <w:b/>
          <w:sz w:val="24"/>
          <w:lang w:eastAsia="zh-CN"/>
        </w:rPr>
      </w:pPr>
      <w:r>
        <w:rPr>
          <w:b/>
          <w:sz w:val="24"/>
        </w:rPr>
        <w:t xml:space="preserve"> 资产评估专业人员：</w:t>
      </w:r>
    </w:p>
    <w:p>
      <w:pPr>
        <w:spacing w:line="360" w:lineRule="auto"/>
        <w:rPr>
          <w:b/>
          <w:sz w:val="24"/>
        </w:rPr>
      </w:pPr>
    </w:p>
    <w:p>
      <w:pPr>
        <w:spacing w:line="360" w:lineRule="auto"/>
        <w:rPr>
          <w:b/>
          <w:sz w:val="24"/>
        </w:rPr>
      </w:pPr>
    </w:p>
    <w:p>
      <w:pPr>
        <w:spacing w:line="360" w:lineRule="auto"/>
        <w:rPr>
          <w:b/>
          <w:sz w:val="24"/>
        </w:rPr>
      </w:pPr>
    </w:p>
    <w:p>
      <w:pPr>
        <w:spacing w:line="360" w:lineRule="auto"/>
        <w:rPr>
          <w:b/>
          <w:sz w:val="24"/>
        </w:rPr>
      </w:pPr>
    </w:p>
    <w:p>
      <w:pPr>
        <w:spacing w:line="360" w:lineRule="auto"/>
        <w:rPr>
          <w:b/>
          <w:sz w:val="30"/>
          <w:szCs w:val="30"/>
        </w:rPr>
      </w:pPr>
      <w:r>
        <w:rPr>
          <w:b/>
          <w:sz w:val="30"/>
          <w:szCs w:val="30"/>
        </w:rPr>
        <w:t xml:space="preserve">             江苏三师土地房地产资产评估测绘咨询有限公司</w:t>
      </w:r>
    </w:p>
    <w:p>
      <w:pPr>
        <w:spacing w:line="360" w:lineRule="auto"/>
        <w:jc w:val="center"/>
        <w:rPr>
          <w:sz w:val="24"/>
        </w:rPr>
      </w:pPr>
      <w:r>
        <w:rPr>
          <w:rFonts w:hint="eastAsia"/>
          <w:b/>
          <w:sz w:val="30"/>
          <w:szCs w:val="30"/>
          <w:lang w:val="en-US" w:eastAsia="zh-CN"/>
        </w:rPr>
        <w:t xml:space="preserve">                    </w:t>
      </w:r>
      <w:r>
        <w:rPr>
          <w:b/>
          <w:sz w:val="30"/>
          <w:szCs w:val="30"/>
        </w:rPr>
        <w:t>二〇二</w:t>
      </w:r>
      <w:r>
        <w:rPr>
          <w:rFonts w:hint="eastAsia"/>
          <w:b/>
          <w:sz w:val="30"/>
          <w:szCs w:val="30"/>
          <w:lang w:val="en-US" w:eastAsia="zh-CN"/>
        </w:rPr>
        <w:t>一</w:t>
      </w:r>
      <w:r>
        <w:rPr>
          <w:b/>
          <w:sz w:val="30"/>
          <w:szCs w:val="30"/>
        </w:rPr>
        <w:t>年</w:t>
      </w:r>
      <w:r>
        <w:rPr>
          <w:rFonts w:hint="eastAsia"/>
          <w:b/>
          <w:sz w:val="30"/>
          <w:szCs w:val="30"/>
          <w:lang w:val="en-US" w:eastAsia="zh-CN"/>
        </w:rPr>
        <w:t>一</w:t>
      </w:r>
      <w:r>
        <w:rPr>
          <w:b/>
          <w:sz w:val="30"/>
          <w:szCs w:val="30"/>
        </w:rPr>
        <w:t>月</w:t>
      </w:r>
      <w:r>
        <w:rPr>
          <w:rFonts w:hint="eastAsia"/>
          <w:b/>
          <w:sz w:val="30"/>
          <w:szCs w:val="30"/>
          <w:lang w:val="en-US" w:eastAsia="zh-CN"/>
        </w:rPr>
        <w:t>十一日</w:t>
      </w:r>
      <w:r>
        <w:rPr>
          <w:b/>
          <w:bCs/>
          <w:kern w:val="44"/>
          <w:sz w:val="36"/>
          <w:szCs w:val="44"/>
        </w:rPr>
        <w:br w:type="page"/>
      </w:r>
      <w:r>
        <w:rPr>
          <w:b/>
          <w:bCs/>
          <w:kern w:val="44"/>
          <w:sz w:val="36"/>
          <w:szCs w:val="44"/>
        </w:rPr>
        <w:t>附  件</w:t>
      </w:r>
    </w:p>
    <w:p>
      <w:pPr>
        <w:spacing w:line="360" w:lineRule="auto"/>
        <w:jc w:val="center"/>
        <w:rPr>
          <w:sz w:val="24"/>
        </w:rPr>
      </w:pPr>
    </w:p>
    <w:p>
      <w:pPr>
        <w:spacing w:line="360" w:lineRule="auto"/>
        <w:ind w:left="840" w:firstLine="240"/>
        <w:rPr>
          <w:sz w:val="24"/>
        </w:rPr>
      </w:pPr>
      <w:r>
        <w:rPr>
          <w:sz w:val="24"/>
        </w:rPr>
        <w:t>附件一：</w:t>
      </w:r>
      <w:r>
        <w:rPr>
          <w:rFonts w:hint="eastAsia" w:ascii="宋体" w:hAnsi="宋体" w:eastAsia="宋体" w:cs="宋体"/>
          <w:sz w:val="24"/>
          <w:lang w:val="en-US" w:eastAsia="zh-CN"/>
        </w:rPr>
        <w:t>资产评估汇总及明细表</w:t>
      </w:r>
      <w:r>
        <w:rPr>
          <w:sz w:val="24"/>
        </w:rPr>
        <w:t>；</w:t>
      </w:r>
    </w:p>
    <w:p>
      <w:pPr>
        <w:spacing w:line="360" w:lineRule="auto"/>
        <w:ind w:left="840" w:firstLine="240"/>
        <w:rPr>
          <w:sz w:val="24"/>
        </w:rPr>
      </w:pPr>
      <w:r>
        <w:rPr>
          <w:sz w:val="24"/>
        </w:rPr>
        <w:t>附件二：主要资产现场勘查照片；</w:t>
      </w:r>
    </w:p>
    <w:p>
      <w:pPr>
        <w:spacing w:line="360" w:lineRule="auto"/>
        <w:ind w:left="840" w:firstLine="240"/>
        <w:rPr>
          <w:rFonts w:hint="default" w:eastAsia="宋体"/>
          <w:sz w:val="24"/>
          <w:lang w:val="en-US" w:eastAsia="zh-CN"/>
        </w:rPr>
      </w:pPr>
      <w:r>
        <w:rPr>
          <w:rFonts w:hint="eastAsia"/>
          <w:sz w:val="24"/>
          <w:lang w:val="en-US" w:eastAsia="zh-CN"/>
        </w:rPr>
        <w:t>附件三：江苏省剑丰农业实业有限公司2021年专题会议纪要；</w:t>
      </w:r>
    </w:p>
    <w:p>
      <w:pPr>
        <w:spacing w:line="360" w:lineRule="auto"/>
        <w:ind w:left="840" w:firstLine="240"/>
        <w:rPr>
          <w:rFonts w:hint="default" w:eastAsia="宋体"/>
          <w:sz w:val="24"/>
          <w:lang w:val="en-US" w:eastAsia="zh-CN"/>
        </w:rPr>
      </w:pPr>
      <w:r>
        <w:rPr>
          <w:rFonts w:hint="eastAsia"/>
          <w:sz w:val="24"/>
          <w:lang w:val="en-US" w:eastAsia="zh-CN"/>
        </w:rPr>
        <w:t>附件四：土地出让合同复印件；</w:t>
      </w:r>
    </w:p>
    <w:p>
      <w:pPr>
        <w:spacing w:line="360" w:lineRule="auto"/>
        <w:ind w:left="840" w:firstLine="240"/>
        <w:rPr>
          <w:sz w:val="24"/>
        </w:rPr>
      </w:pPr>
      <w:r>
        <w:rPr>
          <w:sz w:val="24"/>
        </w:rPr>
        <w:t>附件</w:t>
      </w:r>
      <w:r>
        <w:rPr>
          <w:rFonts w:hint="eastAsia"/>
          <w:sz w:val="24"/>
          <w:lang w:val="en-US" w:eastAsia="zh-CN"/>
        </w:rPr>
        <w:t>五</w:t>
      </w:r>
      <w:r>
        <w:rPr>
          <w:sz w:val="24"/>
        </w:rPr>
        <w:t>：</w:t>
      </w:r>
      <w:r>
        <w:rPr>
          <w:rFonts w:hint="eastAsia"/>
          <w:sz w:val="24"/>
        </w:rPr>
        <w:t>委托人</w:t>
      </w:r>
      <w:r>
        <w:rPr>
          <w:rFonts w:hint="eastAsia"/>
          <w:sz w:val="24"/>
          <w:lang w:val="en-US" w:eastAsia="zh-CN"/>
        </w:rPr>
        <w:t>及被评估单位</w:t>
      </w:r>
      <w:r>
        <w:rPr>
          <w:rFonts w:hint="eastAsia"/>
          <w:sz w:val="24"/>
        </w:rPr>
        <w:t>营业执照</w:t>
      </w:r>
      <w:r>
        <w:rPr>
          <w:rFonts w:hint="eastAsia"/>
          <w:sz w:val="24"/>
          <w:lang w:val="en-US" w:eastAsia="zh-CN"/>
        </w:rPr>
        <w:t>复印件</w:t>
      </w:r>
      <w:r>
        <w:rPr>
          <w:sz w:val="24"/>
        </w:rPr>
        <w:t>；</w:t>
      </w:r>
    </w:p>
    <w:p>
      <w:pPr>
        <w:spacing w:line="360" w:lineRule="auto"/>
        <w:ind w:left="1079" w:leftChars="514" w:firstLine="33" w:firstLineChars="14"/>
        <w:rPr>
          <w:sz w:val="24"/>
        </w:rPr>
      </w:pPr>
      <w:r>
        <w:rPr>
          <w:sz w:val="24"/>
        </w:rPr>
        <w:t>附件</w:t>
      </w:r>
      <w:r>
        <w:rPr>
          <w:rFonts w:hint="eastAsia"/>
          <w:sz w:val="24"/>
          <w:lang w:val="en-US" w:eastAsia="zh-CN"/>
        </w:rPr>
        <w:t>六</w:t>
      </w:r>
      <w:r>
        <w:rPr>
          <w:sz w:val="24"/>
        </w:rPr>
        <w:t>：</w:t>
      </w:r>
      <w:r>
        <w:rPr>
          <w:rFonts w:hint="eastAsia"/>
          <w:sz w:val="24"/>
        </w:rPr>
        <w:t>委托人</w:t>
      </w:r>
      <w:r>
        <w:rPr>
          <w:rFonts w:hint="eastAsia"/>
          <w:sz w:val="24"/>
          <w:lang w:val="en-US" w:eastAsia="zh-CN"/>
        </w:rPr>
        <w:t>及被评估单位承诺函</w:t>
      </w:r>
      <w:r>
        <w:rPr>
          <w:rFonts w:hint="eastAsia"/>
          <w:sz w:val="24"/>
        </w:rPr>
        <w:t>；</w:t>
      </w:r>
    </w:p>
    <w:p>
      <w:pPr>
        <w:spacing w:line="360" w:lineRule="auto"/>
        <w:ind w:left="840" w:firstLine="240"/>
        <w:rPr>
          <w:sz w:val="24"/>
        </w:rPr>
      </w:pPr>
      <w:r>
        <w:rPr>
          <w:sz w:val="24"/>
        </w:rPr>
        <w:t>附件</w:t>
      </w:r>
      <w:r>
        <w:rPr>
          <w:rFonts w:hint="eastAsia"/>
          <w:sz w:val="24"/>
          <w:lang w:val="en-US" w:eastAsia="zh-CN"/>
        </w:rPr>
        <w:t>七</w:t>
      </w:r>
      <w:r>
        <w:rPr>
          <w:sz w:val="24"/>
        </w:rPr>
        <w:t>：评估机构营业执照复印件；</w:t>
      </w:r>
    </w:p>
    <w:p>
      <w:pPr>
        <w:spacing w:line="360" w:lineRule="auto"/>
        <w:ind w:left="840" w:firstLine="240"/>
        <w:rPr>
          <w:sz w:val="24"/>
        </w:rPr>
      </w:pPr>
      <w:r>
        <w:rPr>
          <w:sz w:val="24"/>
        </w:rPr>
        <w:t>附件</w:t>
      </w:r>
      <w:r>
        <w:rPr>
          <w:rFonts w:hint="eastAsia"/>
          <w:sz w:val="24"/>
          <w:lang w:val="en-US" w:eastAsia="zh-CN"/>
        </w:rPr>
        <w:t>八</w:t>
      </w:r>
      <w:r>
        <w:rPr>
          <w:sz w:val="24"/>
        </w:rPr>
        <w:t>：评估机构备案公告复印件；</w:t>
      </w:r>
    </w:p>
    <w:p>
      <w:pPr>
        <w:spacing w:line="360" w:lineRule="auto"/>
        <w:ind w:left="840" w:firstLine="240"/>
        <w:rPr>
          <w:sz w:val="24"/>
        </w:rPr>
      </w:pPr>
      <w:r>
        <w:rPr>
          <w:sz w:val="24"/>
        </w:rPr>
        <w:t>附件</w:t>
      </w:r>
      <w:r>
        <w:rPr>
          <w:rFonts w:hint="eastAsia"/>
          <w:sz w:val="24"/>
          <w:lang w:val="en-US" w:eastAsia="zh-CN"/>
        </w:rPr>
        <w:t>九</w:t>
      </w:r>
      <w:r>
        <w:rPr>
          <w:sz w:val="24"/>
        </w:rPr>
        <w:t>：资产评估专业人员资格证书复印件。</w:t>
      </w: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ind w:left="840" w:firstLine="240"/>
        <w:rPr>
          <w:sz w:val="24"/>
        </w:rPr>
      </w:pPr>
    </w:p>
    <w:p>
      <w:pPr>
        <w:spacing w:line="360" w:lineRule="auto"/>
        <w:rPr>
          <w:rFonts w:hint="eastAsia"/>
          <w:sz w:val="24"/>
          <w:lang w:val="en-US" w:eastAsia="zh-CN"/>
        </w:rPr>
      </w:pPr>
      <w:r>
        <w:rPr>
          <w:rFonts w:hint="eastAsia"/>
          <w:sz w:val="24"/>
          <w:lang w:val="en-US" w:eastAsia="zh-CN"/>
        </w:rPr>
        <w:t>附件一：</w:t>
      </w:r>
    </w:p>
    <w:p>
      <w:pPr>
        <w:spacing w:line="360" w:lineRule="auto"/>
        <w:rPr>
          <w:rFonts w:hint="default"/>
          <w:sz w:val="24"/>
          <w:lang w:val="en-US" w:eastAsia="zh-CN"/>
        </w:rPr>
      </w:pPr>
      <w:r>
        <w:rPr>
          <w:rFonts w:hint="eastAsia"/>
          <w:sz w:val="24"/>
          <w:lang w:val="en-US" w:eastAsia="zh-CN"/>
        </w:rPr>
        <w:t>（略）见表</w:t>
      </w: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p>
    <w:p>
      <w:pPr>
        <w:spacing w:line="360" w:lineRule="auto"/>
        <w:rPr>
          <w:rFonts w:hint="eastAsia"/>
          <w:sz w:val="24"/>
          <w:lang w:val="en-US" w:eastAsia="zh-CN"/>
        </w:rPr>
      </w:pPr>
      <w:r>
        <w:rPr>
          <w:rFonts w:hint="eastAsia"/>
          <w:sz w:val="24"/>
          <w:lang w:val="en-US" w:eastAsia="zh-CN"/>
        </w:rPr>
        <w:t>附件二：</w:t>
      </w: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主要资产现场照片</w:t>
      </w: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drawing>
          <wp:inline distT="0" distB="0" distL="114300" distR="114300">
            <wp:extent cx="2520315" cy="2520315"/>
            <wp:effectExtent l="0" t="0" r="13335" b="13335"/>
            <wp:docPr id="13" name="图片 13" descr="微信图片_20210111170548"/>
            <wp:cNvGraphicFramePr/>
            <a:graphic xmlns:a="http://schemas.openxmlformats.org/drawingml/2006/main">
              <a:graphicData uri="http://schemas.openxmlformats.org/drawingml/2006/picture">
                <pic:pic xmlns:pic="http://schemas.openxmlformats.org/drawingml/2006/picture">
                  <pic:nvPicPr>
                    <pic:cNvPr id="13" name="图片 13" descr="微信图片_20210111170548"/>
                    <pic:cNvPicPr/>
                  </pic:nvPicPr>
                  <pic:blipFill>
                    <a:blip r:embed="rId9"/>
                    <a:stretch>
                      <a:fillRect/>
                    </a:stretch>
                  </pic:blipFill>
                  <pic:spPr>
                    <a:xfrm>
                      <a:off x="0" y="0"/>
                      <a:ext cx="2520315" cy="2520315"/>
                    </a:xfrm>
                    <a:prstGeom prst="rect">
                      <a:avLst/>
                    </a:prstGeom>
                  </pic:spPr>
                </pic:pic>
              </a:graphicData>
            </a:graphic>
          </wp:inline>
        </w:drawing>
      </w:r>
      <w:r>
        <w:rPr>
          <w:rFonts w:hint="eastAsia" w:ascii="黑体" w:hAnsi="黑体" w:eastAsia="黑体" w:cs="黑体"/>
          <w:sz w:val="36"/>
          <w:szCs w:val="36"/>
          <w:lang w:val="en-US" w:eastAsia="zh-CN"/>
        </w:rPr>
        <w:drawing>
          <wp:inline distT="0" distB="0" distL="114300" distR="114300">
            <wp:extent cx="2520315" cy="2520315"/>
            <wp:effectExtent l="0" t="0" r="13335" b="13335"/>
            <wp:docPr id="17" name="图片 17" descr="微信图片_20210111170602"/>
            <wp:cNvGraphicFramePr/>
            <a:graphic xmlns:a="http://schemas.openxmlformats.org/drawingml/2006/main">
              <a:graphicData uri="http://schemas.openxmlformats.org/drawingml/2006/picture">
                <pic:pic xmlns:pic="http://schemas.openxmlformats.org/drawingml/2006/picture">
                  <pic:nvPicPr>
                    <pic:cNvPr id="17" name="图片 17" descr="微信图片_20210111170602"/>
                    <pic:cNvPicPr/>
                  </pic:nvPicPr>
                  <pic:blipFill>
                    <a:blip r:embed="rId10"/>
                    <a:stretch>
                      <a:fillRect/>
                    </a:stretch>
                  </pic:blipFill>
                  <pic:spPr>
                    <a:xfrm>
                      <a:off x="0" y="0"/>
                      <a:ext cx="2520315" cy="2520315"/>
                    </a:xfrm>
                    <a:prstGeom prst="rect">
                      <a:avLst/>
                    </a:prstGeom>
                  </pic:spPr>
                </pic:pic>
              </a:graphicData>
            </a:graphic>
          </wp:inline>
        </w:drawing>
      </w:r>
      <w:r>
        <w:rPr>
          <w:rFonts w:hint="eastAsia" w:ascii="黑体" w:hAnsi="黑体" w:eastAsia="黑体" w:cs="黑体"/>
          <w:sz w:val="36"/>
          <w:szCs w:val="36"/>
          <w:lang w:val="en-US" w:eastAsia="zh-CN"/>
        </w:rPr>
        <w:drawing>
          <wp:inline distT="0" distB="0" distL="114300" distR="114300">
            <wp:extent cx="2520315" cy="2520315"/>
            <wp:effectExtent l="0" t="0" r="13335" b="13335"/>
            <wp:docPr id="16" name="图片 16" descr="微信图片_20210111170552"/>
            <wp:cNvGraphicFramePr/>
            <a:graphic xmlns:a="http://schemas.openxmlformats.org/drawingml/2006/main">
              <a:graphicData uri="http://schemas.openxmlformats.org/drawingml/2006/picture">
                <pic:pic xmlns:pic="http://schemas.openxmlformats.org/drawingml/2006/picture">
                  <pic:nvPicPr>
                    <pic:cNvPr id="16" name="图片 16" descr="微信图片_20210111170552"/>
                    <pic:cNvPicPr/>
                  </pic:nvPicPr>
                  <pic:blipFill>
                    <a:blip r:embed="rId11"/>
                    <a:stretch>
                      <a:fillRect/>
                    </a:stretch>
                  </pic:blipFill>
                  <pic:spPr>
                    <a:xfrm>
                      <a:off x="0" y="0"/>
                      <a:ext cx="2520315" cy="2520315"/>
                    </a:xfrm>
                    <a:prstGeom prst="rect">
                      <a:avLst/>
                    </a:prstGeom>
                  </pic:spPr>
                </pic:pic>
              </a:graphicData>
            </a:graphic>
          </wp:inline>
        </w:drawing>
      </w:r>
      <w:r>
        <w:rPr>
          <w:rFonts w:hint="eastAsia" w:ascii="黑体" w:hAnsi="黑体" w:eastAsia="黑体" w:cs="黑体"/>
          <w:sz w:val="36"/>
          <w:szCs w:val="36"/>
          <w:lang w:val="en-US" w:eastAsia="zh-CN"/>
        </w:rPr>
        <w:drawing>
          <wp:inline distT="0" distB="0" distL="114300" distR="114300">
            <wp:extent cx="2520315" cy="2520315"/>
            <wp:effectExtent l="0" t="0" r="13335" b="13335"/>
            <wp:docPr id="15" name="图片 15" descr="微信图片_20210111170556"/>
            <wp:cNvGraphicFramePr/>
            <a:graphic xmlns:a="http://schemas.openxmlformats.org/drawingml/2006/main">
              <a:graphicData uri="http://schemas.openxmlformats.org/drawingml/2006/picture">
                <pic:pic xmlns:pic="http://schemas.openxmlformats.org/drawingml/2006/picture">
                  <pic:nvPicPr>
                    <pic:cNvPr id="15" name="图片 15" descr="微信图片_20210111170556"/>
                    <pic:cNvPicPr/>
                  </pic:nvPicPr>
                  <pic:blipFill>
                    <a:blip r:embed="rId12"/>
                    <a:stretch>
                      <a:fillRect/>
                    </a:stretch>
                  </pic:blipFill>
                  <pic:spPr>
                    <a:xfrm>
                      <a:off x="0" y="0"/>
                      <a:ext cx="2520315" cy="2520315"/>
                    </a:xfrm>
                    <a:prstGeom prst="rect">
                      <a:avLst/>
                    </a:prstGeom>
                  </pic:spPr>
                </pic:pic>
              </a:graphicData>
            </a:graphic>
          </wp:inline>
        </w:drawing>
      </w:r>
      <w:r>
        <w:rPr>
          <w:rFonts w:hint="eastAsia" w:ascii="黑体" w:hAnsi="黑体" w:eastAsia="黑体" w:cs="黑体"/>
          <w:sz w:val="36"/>
          <w:szCs w:val="36"/>
          <w:lang w:val="en-US" w:eastAsia="zh-CN"/>
        </w:rPr>
        <w:drawing>
          <wp:inline distT="0" distB="0" distL="114300" distR="114300">
            <wp:extent cx="2520315" cy="2520315"/>
            <wp:effectExtent l="0" t="0" r="13335" b="13335"/>
            <wp:docPr id="14" name="图片 14" descr="微信图片_20210111170559"/>
            <wp:cNvGraphicFramePr/>
            <a:graphic xmlns:a="http://schemas.openxmlformats.org/drawingml/2006/main">
              <a:graphicData uri="http://schemas.openxmlformats.org/drawingml/2006/picture">
                <pic:pic xmlns:pic="http://schemas.openxmlformats.org/drawingml/2006/picture">
                  <pic:nvPicPr>
                    <pic:cNvPr id="14" name="图片 14" descr="微信图片_20210111170559"/>
                    <pic:cNvPicPr/>
                  </pic:nvPicPr>
                  <pic:blipFill>
                    <a:blip r:embed="rId13"/>
                    <a:stretch>
                      <a:fillRect/>
                    </a:stretch>
                  </pic:blipFill>
                  <pic:spPr>
                    <a:xfrm>
                      <a:off x="0" y="0"/>
                      <a:ext cx="2520315" cy="2520315"/>
                    </a:xfrm>
                    <a:prstGeom prst="rect">
                      <a:avLst/>
                    </a:prstGeom>
                  </pic:spPr>
                </pic:pic>
              </a:graphicData>
            </a:graphic>
          </wp:inline>
        </w:drawing>
      </w:r>
      <w:r>
        <w:rPr>
          <w:rFonts w:hint="eastAsia" w:ascii="黑体" w:hAnsi="黑体" w:eastAsia="黑体" w:cs="黑体"/>
          <w:sz w:val="36"/>
          <w:szCs w:val="36"/>
          <w:lang w:val="en-US" w:eastAsia="zh-CN"/>
        </w:rPr>
        <w:drawing>
          <wp:inline distT="0" distB="0" distL="114300" distR="114300">
            <wp:extent cx="2520315" cy="2520315"/>
            <wp:effectExtent l="0" t="0" r="13335" b="13335"/>
            <wp:docPr id="12" name="图片 12" descr="微信图片_20210111170537"/>
            <wp:cNvGraphicFramePr/>
            <a:graphic xmlns:a="http://schemas.openxmlformats.org/drawingml/2006/main">
              <a:graphicData uri="http://schemas.openxmlformats.org/drawingml/2006/picture">
                <pic:pic xmlns:pic="http://schemas.openxmlformats.org/drawingml/2006/picture">
                  <pic:nvPicPr>
                    <pic:cNvPr id="12" name="图片 12" descr="微信图片_20210111170537"/>
                    <pic:cNvPicPr/>
                  </pic:nvPicPr>
                  <pic:blipFill>
                    <a:blip r:embed="rId14"/>
                    <a:stretch>
                      <a:fillRect/>
                    </a:stretch>
                  </pic:blipFill>
                  <pic:spPr>
                    <a:xfrm>
                      <a:off x="0" y="0"/>
                      <a:ext cx="2520315" cy="2520315"/>
                    </a:xfrm>
                    <a:prstGeom prst="rect">
                      <a:avLst/>
                    </a:prstGeom>
                  </pic:spPr>
                </pic:pic>
              </a:graphicData>
            </a:graphic>
          </wp:inline>
        </w:drawing>
      </w:r>
    </w:p>
    <w:p>
      <w:pPr>
        <w:spacing w:line="360" w:lineRule="auto"/>
        <w:rPr>
          <w:rFonts w:hint="default"/>
          <w:sz w:val="24"/>
          <w:lang w:val="en-US" w:eastAsia="zh-CN"/>
        </w:rPr>
      </w:pPr>
    </w:p>
    <w:p>
      <w:pPr>
        <w:spacing w:line="360" w:lineRule="auto"/>
        <w:rPr>
          <w:rFonts w:hint="default"/>
          <w:sz w:val="24"/>
          <w:lang w:val="en-US" w:eastAsia="zh-CN"/>
        </w:rPr>
      </w:pPr>
    </w:p>
    <w:p>
      <w:pPr>
        <w:tabs>
          <w:tab w:val="left" w:pos="4500"/>
        </w:tabs>
        <w:spacing w:line="360" w:lineRule="auto"/>
        <w:rPr>
          <w:rFonts w:hint="eastAsia"/>
          <w:lang w:val="en-US" w:eastAsia="zh-CN"/>
        </w:rPr>
      </w:pPr>
      <w:r>
        <w:rPr>
          <w:rFonts w:hint="eastAsia"/>
          <w:lang w:val="en-US" w:eastAsia="zh-CN"/>
        </w:rPr>
        <w:t>附件三：</w:t>
      </w:r>
    </w:p>
    <w:p>
      <w:pPr>
        <w:tabs>
          <w:tab w:val="left" w:pos="4500"/>
        </w:tabs>
        <w:spacing w:line="360" w:lineRule="auto"/>
        <w:rPr>
          <w:rFonts w:hint="default"/>
          <w:lang w:val="en-US" w:eastAsia="zh-CN"/>
        </w:rPr>
      </w:pPr>
      <w:r>
        <w:rPr>
          <w:rFonts w:hint="default"/>
          <w:lang w:val="en-US" w:eastAsia="zh-CN"/>
        </w:rPr>
        <w:drawing>
          <wp:inline distT="0" distB="0" distL="114300" distR="114300">
            <wp:extent cx="5624195" cy="7520305"/>
            <wp:effectExtent l="0" t="0" r="14605" b="4445"/>
            <wp:docPr id="7" name="图片 7" descr="CCI2021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CI20210201"/>
                    <pic:cNvPicPr>
                      <a:picLocks noChangeAspect="1"/>
                    </pic:cNvPicPr>
                  </pic:nvPicPr>
                  <pic:blipFill>
                    <a:blip r:embed="rId15"/>
                    <a:stretch>
                      <a:fillRect/>
                    </a:stretch>
                  </pic:blipFill>
                  <pic:spPr>
                    <a:xfrm>
                      <a:off x="0" y="0"/>
                      <a:ext cx="5624195" cy="7520305"/>
                    </a:xfrm>
                    <a:prstGeom prst="rect">
                      <a:avLst/>
                    </a:prstGeom>
                  </pic:spPr>
                </pic:pic>
              </a:graphicData>
            </a:graphic>
          </wp:inline>
        </w:drawing>
      </w:r>
    </w:p>
    <w:p>
      <w:pPr>
        <w:tabs>
          <w:tab w:val="left" w:pos="4500"/>
        </w:tabs>
        <w:spacing w:line="360" w:lineRule="auto"/>
        <w:rPr>
          <w:rFonts w:hint="default"/>
          <w:lang w:val="en-US" w:eastAsia="zh-CN"/>
        </w:rPr>
      </w:pPr>
    </w:p>
    <w:p>
      <w:pPr>
        <w:tabs>
          <w:tab w:val="left" w:pos="4500"/>
        </w:tabs>
        <w:spacing w:line="360" w:lineRule="auto"/>
        <w:rPr>
          <w:rFonts w:hint="default"/>
          <w:lang w:val="en-US" w:eastAsia="zh-CN"/>
        </w:rPr>
      </w:pPr>
    </w:p>
    <w:p>
      <w:pPr>
        <w:tabs>
          <w:tab w:val="left" w:pos="4500"/>
        </w:tabs>
        <w:spacing w:line="360" w:lineRule="auto"/>
        <w:rPr>
          <w:rFonts w:hint="default"/>
          <w:lang w:val="en-US" w:eastAsia="zh-CN"/>
        </w:rPr>
      </w:pPr>
      <w:r>
        <w:rPr>
          <w:rFonts w:hint="default"/>
          <w:lang w:val="en-US" w:eastAsia="zh-CN"/>
        </w:rPr>
        <w:drawing>
          <wp:inline distT="0" distB="0" distL="114300" distR="114300">
            <wp:extent cx="5624195" cy="8024495"/>
            <wp:effectExtent l="0" t="0" r="14605" b="14605"/>
            <wp:docPr id="9" name="图片 9" descr="CCI2021020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CI20210201_0001"/>
                    <pic:cNvPicPr>
                      <a:picLocks noChangeAspect="1"/>
                    </pic:cNvPicPr>
                  </pic:nvPicPr>
                  <pic:blipFill>
                    <a:blip r:embed="rId16"/>
                    <a:stretch>
                      <a:fillRect/>
                    </a:stretch>
                  </pic:blipFill>
                  <pic:spPr>
                    <a:xfrm>
                      <a:off x="0" y="0"/>
                      <a:ext cx="5624195" cy="8024495"/>
                    </a:xfrm>
                    <a:prstGeom prst="rect">
                      <a:avLst/>
                    </a:prstGeom>
                  </pic:spPr>
                </pic:pic>
              </a:graphicData>
            </a:graphic>
          </wp:inline>
        </w:drawing>
      </w:r>
    </w:p>
    <w:p>
      <w:pPr>
        <w:tabs>
          <w:tab w:val="left" w:pos="4500"/>
        </w:tabs>
        <w:spacing w:line="360" w:lineRule="auto"/>
        <w:rPr>
          <w:rFonts w:hint="default"/>
          <w:lang w:val="en-US" w:eastAsia="zh-CN"/>
        </w:rPr>
      </w:pPr>
    </w:p>
    <w:p>
      <w:pPr>
        <w:tabs>
          <w:tab w:val="left" w:pos="4500"/>
        </w:tabs>
        <w:spacing w:line="360" w:lineRule="auto"/>
        <w:rPr>
          <w:rFonts w:hint="default"/>
          <w:lang w:val="en-US" w:eastAsia="zh-CN"/>
        </w:rPr>
      </w:pPr>
    </w:p>
    <w:p>
      <w:pPr>
        <w:tabs>
          <w:tab w:val="left" w:pos="4500"/>
        </w:tabs>
        <w:spacing w:line="360" w:lineRule="auto"/>
        <w:rPr>
          <w:rFonts w:hint="default"/>
          <w:lang w:val="en-US" w:eastAsia="zh-CN"/>
        </w:rPr>
      </w:pPr>
    </w:p>
    <w:p>
      <w:pPr>
        <w:tabs>
          <w:tab w:val="left" w:pos="4500"/>
        </w:tabs>
        <w:spacing w:line="360" w:lineRule="auto"/>
        <w:rPr>
          <w:rFonts w:hint="eastAsia"/>
          <w:lang w:val="en-US" w:eastAsia="zh-CN"/>
        </w:rPr>
      </w:pPr>
      <w:r>
        <w:rPr>
          <w:rFonts w:hint="eastAsia"/>
          <w:lang w:val="en-US" w:eastAsia="zh-CN"/>
        </w:rPr>
        <w:t>附件四：</w:t>
      </w:r>
    </w:p>
    <w:p>
      <w:pPr>
        <w:tabs>
          <w:tab w:val="left" w:pos="4500"/>
        </w:tabs>
        <w:spacing w:line="360" w:lineRule="auto"/>
        <w:jc w:val="center"/>
        <w:rPr>
          <w:rFonts w:hint="eastAsia"/>
          <w:lang w:val="en-US" w:eastAsia="zh-CN"/>
        </w:rPr>
      </w:pPr>
      <w:r>
        <w:rPr>
          <w:rFonts w:hint="eastAsia"/>
          <w:lang w:val="en-US" w:eastAsia="zh-CN"/>
        </w:rPr>
        <w:t>土地出让合同复印件</w:t>
      </w:r>
    </w:p>
    <w:p>
      <w:pPr>
        <w:tabs>
          <w:tab w:val="left" w:pos="4500"/>
        </w:tabs>
        <w:spacing w:line="360" w:lineRule="auto"/>
        <w:jc w:val="both"/>
        <w:rPr>
          <w:rFonts w:hint="eastAsia"/>
          <w:lang w:val="en-US" w:eastAsia="zh-CN"/>
        </w:rPr>
      </w:pPr>
      <w:r>
        <w:rPr>
          <w:rFonts w:hint="eastAsia"/>
          <w:lang w:val="en-US" w:eastAsia="zh-CN"/>
        </w:rPr>
        <w:drawing>
          <wp:inline distT="0" distB="0" distL="114300" distR="114300">
            <wp:extent cx="2833370" cy="7419340"/>
            <wp:effectExtent l="0" t="0" r="5080" b="10160"/>
            <wp:docPr id="18" name="图片 18" descr="cbb0d061d684746049ebd3b10ee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bb0d061d684746049ebd3b10ee7568"/>
                    <pic:cNvPicPr>
                      <a:picLocks noChangeAspect="1"/>
                    </pic:cNvPicPr>
                  </pic:nvPicPr>
                  <pic:blipFill>
                    <a:blip r:embed="rId17"/>
                    <a:stretch>
                      <a:fillRect/>
                    </a:stretch>
                  </pic:blipFill>
                  <pic:spPr>
                    <a:xfrm>
                      <a:off x="0" y="0"/>
                      <a:ext cx="2833370" cy="7419340"/>
                    </a:xfrm>
                    <a:prstGeom prst="rect">
                      <a:avLst/>
                    </a:prstGeom>
                  </pic:spPr>
                </pic:pic>
              </a:graphicData>
            </a:graphic>
          </wp:inline>
        </w:drawing>
      </w:r>
      <w:r>
        <w:rPr>
          <w:rFonts w:hint="eastAsia"/>
          <w:lang w:val="en-US" w:eastAsia="zh-CN"/>
        </w:rPr>
        <w:drawing>
          <wp:inline distT="0" distB="0" distL="114300" distR="114300">
            <wp:extent cx="2002155" cy="7620000"/>
            <wp:effectExtent l="0" t="0" r="17145" b="0"/>
            <wp:docPr id="19" name="图片 19" descr="d50defa7c419394569d3cf7c4524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50defa7c419394569d3cf7c45241ca"/>
                    <pic:cNvPicPr>
                      <a:picLocks noChangeAspect="1"/>
                    </pic:cNvPicPr>
                  </pic:nvPicPr>
                  <pic:blipFill>
                    <a:blip r:embed="rId18"/>
                    <a:stretch>
                      <a:fillRect/>
                    </a:stretch>
                  </pic:blipFill>
                  <pic:spPr>
                    <a:xfrm>
                      <a:off x="0" y="0"/>
                      <a:ext cx="2002155" cy="7620000"/>
                    </a:xfrm>
                    <a:prstGeom prst="rect">
                      <a:avLst/>
                    </a:prstGeom>
                  </pic:spPr>
                </pic:pic>
              </a:graphicData>
            </a:graphic>
          </wp:inline>
        </w:drawing>
      </w:r>
    </w:p>
    <w:p>
      <w:pPr>
        <w:tabs>
          <w:tab w:val="left" w:pos="4500"/>
        </w:tabs>
        <w:spacing w:line="360" w:lineRule="auto"/>
        <w:jc w:val="both"/>
        <w:rPr>
          <w:rFonts w:hint="default"/>
          <w:lang w:val="en-US" w:eastAsia="zh-CN"/>
        </w:rPr>
      </w:pPr>
      <w:r>
        <w:rPr>
          <w:rFonts w:hint="default"/>
          <w:lang w:val="en-US" w:eastAsia="zh-CN"/>
        </w:rPr>
        <w:drawing>
          <wp:inline distT="0" distB="0" distL="114300" distR="114300">
            <wp:extent cx="2867025" cy="7620000"/>
            <wp:effectExtent l="0" t="0" r="9525" b="0"/>
            <wp:docPr id="20" name="图片 20" descr="01ac6029bd41231ddeeedf528469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ac6029bd41231ddeeedf52846915a"/>
                    <pic:cNvPicPr>
                      <a:picLocks noChangeAspect="1"/>
                    </pic:cNvPicPr>
                  </pic:nvPicPr>
                  <pic:blipFill>
                    <a:blip r:embed="rId19"/>
                    <a:stretch>
                      <a:fillRect/>
                    </a:stretch>
                  </pic:blipFill>
                  <pic:spPr>
                    <a:xfrm>
                      <a:off x="0" y="0"/>
                      <a:ext cx="2867025" cy="7620000"/>
                    </a:xfrm>
                    <a:prstGeom prst="rect">
                      <a:avLst/>
                    </a:prstGeom>
                  </pic:spPr>
                </pic:pic>
              </a:graphicData>
            </a:graphic>
          </wp:inline>
        </w:drawing>
      </w:r>
      <w:bookmarkStart w:id="33" w:name="_GoBack"/>
      <w:r>
        <w:rPr>
          <w:rFonts w:hint="default"/>
          <w:lang w:val="en-US" w:eastAsia="zh-CN"/>
        </w:rPr>
        <w:drawing>
          <wp:inline distT="0" distB="0" distL="114300" distR="114300">
            <wp:extent cx="2191385" cy="7620000"/>
            <wp:effectExtent l="0" t="0" r="18415" b="0"/>
            <wp:docPr id="21" name="图片 21" descr="963913632b2b23dbc3a9bfb306e6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63913632b2b23dbc3a9bfb306e6cd0"/>
                    <pic:cNvPicPr>
                      <a:picLocks noChangeAspect="1"/>
                    </pic:cNvPicPr>
                  </pic:nvPicPr>
                  <pic:blipFill>
                    <a:blip r:embed="rId20"/>
                    <a:stretch>
                      <a:fillRect/>
                    </a:stretch>
                  </pic:blipFill>
                  <pic:spPr>
                    <a:xfrm>
                      <a:off x="0" y="0"/>
                      <a:ext cx="2191385" cy="7620000"/>
                    </a:xfrm>
                    <a:prstGeom prst="rect">
                      <a:avLst/>
                    </a:prstGeom>
                  </pic:spPr>
                </pic:pic>
              </a:graphicData>
            </a:graphic>
          </wp:inline>
        </w:drawing>
      </w:r>
      <w:bookmarkEnd w:id="33"/>
    </w:p>
    <w:p>
      <w:pPr>
        <w:tabs>
          <w:tab w:val="left" w:pos="4500"/>
        </w:tabs>
        <w:spacing w:line="360" w:lineRule="auto"/>
        <w:jc w:val="both"/>
        <w:rPr>
          <w:rFonts w:hint="default"/>
          <w:lang w:val="en-US" w:eastAsia="zh-CN"/>
        </w:rPr>
      </w:pPr>
    </w:p>
    <w:p>
      <w:pPr>
        <w:tabs>
          <w:tab w:val="left" w:pos="4500"/>
        </w:tabs>
        <w:spacing w:line="360" w:lineRule="auto"/>
        <w:jc w:val="both"/>
        <w:rPr>
          <w:rFonts w:hint="default"/>
          <w:lang w:val="en-US" w:eastAsia="zh-CN"/>
        </w:rPr>
      </w:pPr>
    </w:p>
    <w:p>
      <w:pPr>
        <w:tabs>
          <w:tab w:val="left" w:pos="4500"/>
        </w:tabs>
        <w:spacing w:line="360" w:lineRule="auto"/>
        <w:jc w:val="both"/>
        <w:rPr>
          <w:rFonts w:hint="default"/>
          <w:lang w:val="en-US" w:eastAsia="zh-CN"/>
        </w:rPr>
      </w:pPr>
    </w:p>
    <w:p>
      <w:pPr>
        <w:tabs>
          <w:tab w:val="left" w:pos="4500"/>
        </w:tabs>
        <w:spacing w:line="360" w:lineRule="auto"/>
        <w:jc w:val="both"/>
        <w:rPr>
          <w:rFonts w:hint="default"/>
          <w:lang w:val="en-US" w:eastAsia="zh-CN"/>
        </w:rPr>
      </w:pPr>
    </w:p>
    <w:p>
      <w:pPr>
        <w:tabs>
          <w:tab w:val="left" w:pos="4500"/>
        </w:tabs>
        <w:spacing w:line="360" w:lineRule="auto"/>
        <w:jc w:val="both"/>
        <w:rPr>
          <w:rFonts w:hint="default"/>
          <w:lang w:val="en-US" w:eastAsia="zh-CN"/>
        </w:rPr>
      </w:pPr>
      <w:r>
        <w:rPr>
          <w:rFonts w:hint="default"/>
          <w:lang w:val="en-US" w:eastAsia="zh-CN"/>
        </w:rPr>
        <w:drawing>
          <wp:inline distT="0" distB="0" distL="114300" distR="114300">
            <wp:extent cx="2533015" cy="7620000"/>
            <wp:effectExtent l="0" t="0" r="635" b="0"/>
            <wp:docPr id="22" name="图片 22" descr="192a511168a27f3ee6b8a9db0a34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92a511168a27f3ee6b8a9db0a34b6a"/>
                    <pic:cNvPicPr>
                      <a:picLocks noChangeAspect="1"/>
                    </pic:cNvPicPr>
                  </pic:nvPicPr>
                  <pic:blipFill>
                    <a:blip r:embed="rId21"/>
                    <a:stretch>
                      <a:fillRect/>
                    </a:stretch>
                  </pic:blipFill>
                  <pic:spPr>
                    <a:xfrm>
                      <a:off x="0" y="0"/>
                      <a:ext cx="2533015" cy="7620000"/>
                    </a:xfrm>
                    <a:prstGeom prst="rect">
                      <a:avLst/>
                    </a:prstGeom>
                  </pic:spPr>
                </pic:pic>
              </a:graphicData>
            </a:graphic>
          </wp:inline>
        </w:drawing>
      </w:r>
      <w:r>
        <w:rPr>
          <w:rFonts w:hint="default"/>
          <w:lang w:val="en-US" w:eastAsia="zh-CN"/>
        </w:rPr>
        <w:drawing>
          <wp:inline distT="0" distB="0" distL="114300" distR="114300">
            <wp:extent cx="2545715" cy="7610475"/>
            <wp:effectExtent l="0" t="0" r="6985" b="9525"/>
            <wp:docPr id="23" name="图片 23" descr="5f2735c9069545af7426d3d85cde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f2735c9069545af7426d3d85cde935"/>
                    <pic:cNvPicPr>
                      <a:picLocks noChangeAspect="1"/>
                    </pic:cNvPicPr>
                  </pic:nvPicPr>
                  <pic:blipFill>
                    <a:blip r:embed="rId22"/>
                    <a:stretch>
                      <a:fillRect/>
                    </a:stretch>
                  </pic:blipFill>
                  <pic:spPr>
                    <a:xfrm>
                      <a:off x="0" y="0"/>
                      <a:ext cx="2545715" cy="7610475"/>
                    </a:xfrm>
                    <a:prstGeom prst="rect">
                      <a:avLst/>
                    </a:prstGeom>
                  </pic:spPr>
                </pic:pic>
              </a:graphicData>
            </a:graphic>
          </wp:inline>
        </w:drawing>
      </w:r>
    </w:p>
    <w:p>
      <w:pPr>
        <w:tabs>
          <w:tab w:val="left" w:pos="4500"/>
        </w:tabs>
        <w:spacing w:line="360" w:lineRule="auto"/>
        <w:jc w:val="both"/>
        <w:rPr>
          <w:rFonts w:hint="default"/>
          <w:lang w:val="en-US" w:eastAsia="zh-CN"/>
        </w:rPr>
      </w:pPr>
    </w:p>
    <w:p>
      <w:pPr>
        <w:tabs>
          <w:tab w:val="left" w:pos="4500"/>
        </w:tabs>
        <w:spacing w:line="360" w:lineRule="auto"/>
        <w:jc w:val="both"/>
        <w:rPr>
          <w:rFonts w:hint="default"/>
          <w:lang w:val="en-US" w:eastAsia="zh-CN"/>
        </w:rPr>
      </w:pPr>
    </w:p>
    <w:p>
      <w:pPr>
        <w:tabs>
          <w:tab w:val="left" w:pos="4500"/>
        </w:tabs>
        <w:spacing w:line="360" w:lineRule="auto"/>
        <w:jc w:val="both"/>
        <w:rPr>
          <w:rFonts w:hint="default"/>
          <w:lang w:val="en-US" w:eastAsia="zh-CN"/>
        </w:rPr>
      </w:pPr>
    </w:p>
    <w:p>
      <w:pPr>
        <w:tabs>
          <w:tab w:val="left" w:pos="4500"/>
        </w:tabs>
        <w:spacing w:line="360" w:lineRule="auto"/>
        <w:jc w:val="both"/>
        <w:rPr>
          <w:rFonts w:hint="default"/>
          <w:lang w:val="en-US" w:eastAsia="zh-CN"/>
        </w:rPr>
      </w:pPr>
    </w:p>
    <w:p>
      <w:pPr>
        <w:tabs>
          <w:tab w:val="center" w:pos="4433"/>
        </w:tabs>
        <w:spacing w:line="360" w:lineRule="auto"/>
        <w:jc w:val="both"/>
        <w:rPr>
          <w:rFonts w:hint="default"/>
          <w:lang w:val="en-US" w:eastAsia="zh-CN"/>
        </w:rPr>
      </w:pPr>
      <w:r>
        <w:rPr>
          <w:rFonts w:hint="default"/>
          <w:lang w:val="en-US" w:eastAsia="zh-CN"/>
        </w:rPr>
        <w:drawing>
          <wp:inline distT="0" distB="0" distL="114300" distR="114300">
            <wp:extent cx="2753360" cy="7620000"/>
            <wp:effectExtent l="0" t="0" r="8890" b="0"/>
            <wp:docPr id="24" name="图片 24" descr="f5cff6c56ce2f22d8792d748b7a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5cff6c56ce2f22d8792d748b7a2905"/>
                    <pic:cNvPicPr>
                      <a:picLocks noChangeAspect="1"/>
                    </pic:cNvPicPr>
                  </pic:nvPicPr>
                  <pic:blipFill>
                    <a:blip r:embed="rId23"/>
                    <a:stretch>
                      <a:fillRect/>
                    </a:stretch>
                  </pic:blipFill>
                  <pic:spPr>
                    <a:xfrm>
                      <a:off x="0" y="0"/>
                      <a:ext cx="2753360" cy="7620000"/>
                    </a:xfrm>
                    <a:prstGeom prst="rect">
                      <a:avLst/>
                    </a:prstGeom>
                  </pic:spPr>
                </pic:pic>
              </a:graphicData>
            </a:graphic>
          </wp:inline>
        </w:drawing>
      </w:r>
      <w:r>
        <w:rPr>
          <w:rFonts w:hint="eastAsia"/>
          <w:lang w:val="en-US" w:eastAsia="zh-CN"/>
        </w:rPr>
        <w:tab/>
      </w:r>
      <w:r>
        <w:rPr>
          <w:rFonts w:hint="default"/>
          <w:lang w:val="en-US" w:eastAsia="zh-CN"/>
        </w:rPr>
        <w:drawing>
          <wp:inline distT="0" distB="0" distL="114300" distR="114300">
            <wp:extent cx="2473960" cy="7553325"/>
            <wp:effectExtent l="0" t="0" r="2540" b="9525"/>
            <wp:docPr id="25" name="图片 25" descr="c87e498903fa430df25cccdb765f6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87e498903fa430df25cccdb765f66b"/>
                    <pic:cNvPicPr>
                      <a:picLocks noChangeAspect="1"/>
                    </pic:cNvPicPr>
                  </pic:nvPicPr>
                  <pic:blipFill>
                    <a:blip r:embed="rId24"/>
                    <a:stretch>
                      <a:fillRect/>
                    </a:stretch>
                  </pic:blipFill>
                  <pic:spPr>
                    <a:xfrm>
                      <a:off x="0" y="0"/>
                      <a:ext cx="2473960" cy="7553325"/>
                    </a:xfrm>
                    <a:prstGeom prst="rect">
                      <a:avLst/>
                    </a:prstGeom>
                  </pic:spPr>
                </pic:pic>
              </a:graphicData>
            </a:graphic>
          </wp:inline>
        </w:drawing>
      </w:r>
    </w:p>
    <w:p>
      <w:pPr>
        <w:tabs>
          <w:tab w:val="center" w:pos="4433"/>
        </w:tabs>
        <w:spacing w:line="360" w:lineRule="auto"/>
        <w:jc w:val="both"/>
        <w:rPr>
          <w:rFonts w:hint="default"/>
          <w:lang w:val="en-US" w:eastAsia="zh-CN"/>
        </w:rPr>
      </w:pPr>
    </w:p>
    <w:p>
      <w:pPr>
        <w:tabs>
          <w:tab w:val="center" w:pos="4433"/>
        </w:tabs>
        <w:spacing w:line="360" w:lineRule="auto"/>
        <w:jc w:val="both"/>
        <w:rPr>
          <w:rFonts w:hint="default"/>
          <w:lang w:val="en-US" w:eastAsia="zh-CN"/>
        </w:rPr>
      </w:pPr>
    </w:p>
    <w:p>
      <w:pPr>
        <w:tabs>
          <w:tab w:val="center" w:pos="4433"/>
        </w:tabs>
        <w:spacing w:line="360" w:lineRule="auto"/>
        <w:jc w:val="both"/>
        <w:rPr>
          <w:rFonts w:hint="default"/>
          <w:lang w:val="en-US" w:eastAsia="zh-CN"/>
        </w:rPr>
      </w:pPr>
    </w:p>
    <w:p>
      <w:pPr>
        <w:tabs>
          <w:tab w:val="center" w:pos="4433"/>
        </w:tabs>
        <w:spacing w:line="360" w:lineRule="auto"/>
        <w:jc w:val="both"/>
        <w:rPr>
          <w:rFonts w:hint="default"/>
          <w:lang w:val="en-US" w:eastAsia="zh-CN"/>
        </w:rPr>
      </w:pPr>
    </w:p>
    <w:p>
      <w:pPr>
        <w:tabs>
          <w:tab w:val="center" w:pos="4433"/>
        </w:tabs>
        <w:spacing w:line="360" w:lineRule="auto"/>
        <w:jc w:val="both"/>
        <w:rPr>
          <w:rFonts w:hint="eastAsia"/>
          <w:lang w:val="en-US" w:eastAsia="zh-CN"/>
        </w:rPr>
      </w:pPr>
      <w:r>
        <w:rPr>
          <w:rFonts w:hint="eastAsia"/>
          <w:lang w:val="en-US" w:eastAsia="zh-CN"/>
        </w:rPr>
        <w:t>附件五：</w:t>
      </w:r>
    </w:p>
    <w:p>
      <w:pPr>
        <w:tabs>
          <w:tab w:val="center" w:pos="4433"/>
        </w:tabs>
        <w:spacing w:line="360" w:lineRule="auto"/>
        <w:jc w:val="both"/>
        <w:rPr>
          <w:rFonts w:hint="default"/>
          <w:lang w:val="en-US" w:eastAsia="zh-CN"/>
        </w:rPr>
      </w:pPr>
      <w:r>
        <w:rPr>
          <w:rFonts w:hint="default"/>
          <w:lang w:val="en-US" w:eastAsia="zh-CN"/>
        </w:rPr>
        <w:drawing>
          <wp:inline distT="0" distB="0" distL="114300" distR="114300">
            <wp:extent cx="4272915" cy="7882890"/>
            <wp:effectExtent l="0" t="0" r="13335" b="3810"/>
            <wp:docPr id="26" name="图片 26" descr="5.被评估单位方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被评估单位方营业执照"/>
                    <pic:cNvPicPr>
                      <a:picLocks noChangeAspect="1"/>
                    </pic:cNvPicPr>
                  </pic:nvPicPr>
                  <pic:blipFill>
                    <a:blip r:embed="rId25"/>
                    <a:stretch>
                      <a:fillRect/>
                    </a:stretch>
                  </pic:blipFill>
                  <pic:spPr>
                    <a:xfrm>
                      <a:off x="0" y="0"/>
                      <a:ext cx="4272915" cy="7882890"/>
                    </a:xfrm>
                    <a:prstGeom prst="rect">
                      <a:avLst/>
                    </a:prstGeom>
                  </pic:spPr>
                </pic:pic>
              </a:graphicData>
            </a:graphic>
          </wp:inline>
        </w:drawing>
      </w:r>
    </w:p>
    <w:p>
      <w:pPr>
        <w:tabs>
          <w:tab w:val="center" w:pos="4433"/>
        </w:tabs>
        <w:spacing w:line="360" w:lineRule="auto"/>
        <w:jc w:val="both"/>
        <w:rPr>
          <w:rFonts w:hint="default"/>
          <w:lang w:val="en-US" w:eastAsia="zh-CN"/>
        </w:rPr>
      </w:pPr>
      <w:r>
        <w:rPr>
          <w:rFonts w:hint="default"/>
          <w:lang w:val="en-US" w:eastAsia="zh-CN"/>
        </w:rPr>
        <w:drawing>
          <wp:inline distT="0" distB="0" distL="114300" distR="114300">
            <wp:extent cx="4362450" cy="6181725"/>
            <wp:effectExtent l="0" t="0" r="0" b="9525"/>
            <wp:docPr id="27" name="图片 27" descr="161214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12145150"/>
                    <pic:cNvPicPr>
                      <a:picLocks noChangeAspect="1"/>
                    </pic:cNvPicPr>
                  </pic:nvPicPr>
                  <pic:blipFill>
                    <a:blip r:embed="rId26"/>
                    <a:stretch>
                      <a:fillRect/>
                    </a:stretch>
                  </pic:blipFill>
                  <pic:spPr>
                    <a:xfrm>
                      <a:off x="0" y="0"/>
                      <a:ext cx="4362450" cy="6181725"/>
                    </a:xfrm>
                    <a:prstGeom prst="rect">
                      <a:avLst/>
                    </a:prstGeom>
                  </pic:spPr>
                </pic:pic>
              </a:graphicData>
            </a:graphic>
          </wp:inline>
        </w:drawing>
      </w:r>
    </w:p>
    <w:p>
      <w:pPr>
        <w:tabs>
          <w:tab w:val="center" w:pos="4433"/>
        </w:tabs>
        <w:spacing w:line="360" w:lineRule="auto"/>
        <w:jc w:val="both"/>
        <w:rPr>
          <w:rFonts w:hint="default"/>
          <w:lang w:val="en-US" w:eastAsia="zh-CN"/>
        </w:rPr>
      </w:pPr>
    </w:p>
    <w:p>
      <w:pPr>
        <w:tabs>
          <w:tab w:val="center" w:pos="4433"/>
        </w:tabs>
        <w:spacing w:line="360" w:lineRule="auto"/>
        <w:jc w:val="both"/>
        <w:rPr>
          <w:rFonts w:hint="default"/>
          <w:lang w:val="en-US" w:eastAsia="zh-CN"/>
        </w:rPr>
      </w:pPr>
    </w:p>
    <w:p>
      <w:pPr>
        <w:tabs>
          <w:tab w:val="center" w:pos="4433"/>
        </w:tabs>
        <w:spacing w:line="360" w:lineRule="auto"/>
        <w:jc w:val="both"/>
        <w:rPr>
          <w:rFonts w:hint="default"/>
          <w:lang w:val="en-US" w:eastAsia="zh-CN"/>
        </w:rPr>
      </w:pPr>
    </w:p>
    <w:p>
      <w:pPr>
        <w:tabs>
          <w:tab w:val="center" w:pos="4433"/>
        </w:tabs>
        <w:spacing w:line="360" w:lineRule="auto"/>
        <w:jc w:val="both"/>
        <w:rPr>
          <w:rFonts w:hint="default"/>
          <w:lang w:val="en-US" w:eastAsia="zh-CN"/>
        </w:rPr>
      </w:pPr>
    </w:p>
    <w:p>
      <w:pPr>
        <w:tabs>
          <w:tab w:val="center" w:pos="4433"/>
        </w:tabs>
        <w:spacing w:line="360" w:lineRule="auto"/>
        <w:jc w:val="both"/>
        <w:rPr>
          <w:rFonts w:hint="default"/>
          <w:lang w:val="en-US" w:eastAsia="zh-CN"/>
        </w:rPr>
      </w:pPr>
    </w:p>
    <w:p>
      <w:pPr>
        <w:tabs>
          <w:tab w:val="center" w:pos="4433"/>
        </w:tabs>
        <w:spacing w:line="360" w:lineRule="auto"/>
        <w:jc w:val="both"/>
        <w:rPr>
          <w:rFonts w:hint="default"/>
          <w:lang w:val="en-US" w:eastAsia="zh-CN"/>
        </w:rPr>
      </w:pPr>
    </w:p>
    <w:p>
      <w:pPr>
        <w:tabs>
          <w:tab w:val="center" w:pos="4433"/>
        </w:tabs>
        <w:spacing w:line="360" w:lineRule="auto"/>
        <w:jc w:val="both"/>
        <w:rPr>
          <w:rFonts w:hint="default"/>
          <w:lang w:val="en-US" w:eastAsia="zh-CN"/>
        </w:rPr>
      </w:pPr>
    </w:p>
    <w:p>
      <w:pPr>
        <w:tabs>
          <w:tab w:val="center" w:pos="4433"/>
        </w:tabs>
        <w:spacing w:line="360" w:lineRule="auto"/>
        <w:jc w:val="both"/>
        <w:rPr>
          <w:rFonts w:hint="default"/>
          <w:lang w:val="en-US" w:eastAsia="zh-CN"/>
        </w:rPr>
      </w:pPr>
    </w:p>
    <w:p>
      <w:pPr>
        <w:tabs>
          <w:tab w:val="center" w:pos="4433"/>
        </w:tabs>
        <w:spacing w:line="360" w:lineRule="auto"/>
        <w:jc w:val="both"/>
        <w:rPr>
          <w:rFonts w:hint="default"/>
          <w:lang w:val="en-US" w:eastAsia="zh-CN"/>
        </w:rPr>
      </w:pPr>
    </w:p>
    <w:p>
      <w:pPr>
        <w:tabs>
          <w:tab w:val="center" w:pos="4433"/>
        </w:tabs>
        <w:spacing w:line="360" w:lineRule="auto"/>
        <w:jc w:val="both"/>
        <w:rPr>
          <w:rFonts w:hint="eastAsia"/>
          <w:sz w:val="32"/>
          <w:szCs w:val="40"/>
          <w:lang w:val="en-US" w:eastAsia="zh-CN"/>
        </w:rPr>
      </w:pPr>
      <w:r>
        <w:rPr>
          <w:rFonts w:hint="eastAsia"/>
          <w:sz w:val="32"/>
          <w:szCs w:val="40"/>
          <w:lang w:val="en-US" w:eastAsia="zh-CN"/>
        </w:rPr>
        <w:t>附件六：</w:t>
      </w:r>
    </w:p>
    <w:p>
      <w:pPr>
        <w:tabs>
          <w:tab w:val="center" w:pos="4433"/>
        </w:tabs>
        <w:spacing w:line="360" w:lineRule="auto"/>
        <w:jc w:val="both"/>
        <w:rPr>
          <w:rFonts w:hint="eastAsia"/>
          <w:lang w:val="en-US" w:eastAsia="zh-CN"/>
        </w:rPr>
      </w:pPr>
      <w:r>
        <w:rPr>
          <w:rFonts w:hint="eastAsia"/>
          <w:lang w:val="en-US" w:eastAsia="zh-CN"/>
        </w:rPr>
        <w:t>（略）</w:t>
      </w: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lang w:val="en-US" w:eastAsia="zh-CN"/>
        </w:rPr>
      </w:pPr>
    </w:p>
    <w:p>
      <w:pPr>
        <w:tabs>
          <w:tab w:val="center" w:pos="4433"/>
        </w:tabs>
        <w:spacing w:line="360" w:lineRule="auto"/>
        <w:jc w:val="both"/>
        <w:rPr>
          <w:rFonts w:hint="eastAsia"/>
          <w:sz w:val="28"/>
          <w:szCs w:val="36"/>
          <w:lang w:val="en-US" w:eastAsia="zh-CN"/>
        </w:rPr>
      </w:pPr>
      <w:r>
        <w:rPr>
          <w:rFonts w:hint="eastAsia"/>
          <w:sz w:val="28"/>
          <w:szCs w:val="36"/>
          <w:lang w:val="en-US" w:eastAsia="zh-CN"/>
        </w:rPr>
        <w:t>附件七：</w:t>
      </w:r>
    </w:p>
    <w:p>
      <w:pPr>
        <w:rPr>
          <w:rFonts w:hint="default" w:eastAsiaTheme="minorEastAsia"/>
          <w:lang w:val="en-US" w:eastAsia="zh-CN"/>
        </w:rPr>
      </w:pPr>
      <w:r>
        <w:rPr>
          <w:rFonts w:hint="eastAsia" w:eastAsiaTheme="minorEastAsia"/>
          <w:lang w:eastAsia="zh-CN"/>
        </w:rPr>
        <w:drawing>
          <wp:inline distT="0" distB="0" distL="114300" distR="114300">
            <wp:extent cx="6000750" cy="8092440"/>
            <wp:effectExtent l="0" t="0" r="0" b="3810"/>
            <wp:docPr id="28" name="图片 28" descr="副本-总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副本-总公司"/>
                    <pic:cNvPicPr>
                      <a:picLocks noChangeAspect="1"/>
                    </pic:cNvPicPr>
                  </pic:nvPicPr>
                  <pic:blipFill>
                    <a:blip r:embed="rId27"/>
                    <a:stretch>
                      <a:fillRect/>
                    </a:stretch>
                  </pic:blipFill>
                  <pic:spPr>
                    <a:xfrm rot="10800000">
                      <a:off x="0" y="0"/>
                      <a:ext cx="6000750" cy="8092440"/>
                    </a:xfrm>
                    <a:prstGeom prst="rect">
                      <a:avLst/>
                    </a:prstGeom>
                  </pic:spPr>
                </pic:pic>
              </a:graphicData>
            </a:graphic>
          </wp:inline>
        </w:drawing>
      </w:r>
      <w:r>
        <w:rPr>
          <w:rFonts w:hint="eastAsia" w:eastAsiaTheme="minorEastAsia"/>
          <w:lang w:eastAsia="zh-CN"/>
        </w:rPr>
        <w:drawing>
          <wp:anchor distT="0" distB="0" distL="114300" distR="114300" simplePos="0" relativeHeight="251668480" behindDoc="1" locked="0" layoutInCell="1" allowOverlap="1">
            <wp:simplePos x="0" y="0"/>
            <wp:positionH relativeFrom="column">
              <wp:posOffset>-655320</wp:posOffset>
            </wp:positionH>
            <wp:positionV relativeFrom="paragraph">
              <wp:posOffset>-1290955</wp:posOffset>
            </wp:positionV>
            <wp:extent cx="6668135" cy="10662285"/>
            <wp:effectExtent l="0" t="0" r="18415" b="5715"/>
            <wp:wrapThrough wrapText="bothSides">
              <wp:wrapPolygon>
                <wp:start x="0" y="0"/>
                <wp:lineTo x="0" y="21573"/>
                <wp:lineTo x="21536" y="21573"/>
                <wp:lineTo x="21536" y="0"/>
                <wp:lineTo x="0" y="0"/>
              </wp:wrapPolygon>
            </wp:wrapThrough>
            <wp:docPr id="29" name="图片 29" descr="365998196296467273"/>
            <wp:cNvGraphicFramePr/>
            <a:graphic xmlns:a="http://schemas.openxmlformats.org/drawingml/2006/main">
              <a:graphicData uri="http://schemas.openxmlformats.org/drawingml/2006/picture">
                <pic:pic xmlns:pic="http://schemas.openxmlformats.org/drawingml/2006/picture">
                  <pic:nvPicPr>
                    <pic:cNvPr id="29" name="图片 29" descr="365998196296467273"/>
                    <pic:cNvPicPr/>
                  </pic:nvPicPr>
                  <pic:blipFill>
                    <a:blip r:embed="rId28"/>
                    <a:stretch>
                      <a:fillRect/>
                    </a:stretch>
                  </pic:blipFill>
                  <pic:spPr>
                    <a:xfrm>
                      <a:off x="0" y="0"/>
                      <a:ext cx="6668135" cy="10662285"/>
                    </a:xfrm>
                    <a:prstGeom prst="rect">
                      <a:avLst/>
                    </a:prstGeom>
                  </pic:spPr>
                </pic:pic>
              </a:graphicData>
            </a:graphic>
          </wp:anchor>
        </w:drawing>
      </w:r>
      <w:r>
        <w:rPr>
          <w:rFonts w:hint="eastAsia"/>
          <w:lang w:val="en-US" w:eastAsia="zh-CN"/>
        </w:rPr>
        <w:t xml:space="preserve">                                                                                                                                                                                                                                                                                                                                                                                                                                                                                                                                                                     </w:t>
      </w:r>
    </w:p>
    <w:p>
      <w:pPr>
        <w:rPr>
          <w:rFonts w:hint="eastAsia" w:eastAsiaTheme="minorEastAsia"/>
          <w:lang w:eastAsia="zh-CN"/>
        </w:rPr>
      </w:pPr>
      <w:r>
        <w:rPr>
          <w:rFonts w:hint="eastAsia" w:eastAsiaTheme="minorEastAsia"/>
          <w:lang w:eastAsia="zh-CN"/>
        </w:rPr>
        <w:drawing>
          <wp:anchor distT="0" distB="0" distL="114300" distR="114300" simplePos="0" relativeHeight="251669504" behindDoc="1" locked="0" layoutInCell="1" allowOverlap="1">
            <wp:simplePos x="0" y="0"/>
            <wp:positionH relativeFrom="column">
              <wp:posOffset>-478790</wp:posOffset>
            </wp:positionH>
            <wp:positionV relativeFrom="paragraph">
              <wp:posOffset>-591820</wp:posOffset>
            </wp:positionV>
            <wp:extent cx="6480175" cy="9749790"/>
            <wp:effectExtent l="0" t="0" r="15875" b="3810"/>
            <wp:wrapThrough wrapText="bothSides">
              <wp:wrapPolygon>
                <wp:start x="0" y="0"/>
                <wp:lineTo x="0" y="21566"/>
                <wp:lineTo x="21526" y="21566"/>
                <wp:lineTo x="21526" y="0"/>
                <wp:lineTo x="0" y="0"/>
              </wp:wrapPolygon>
            </wp:wrapThrough>
            <wp:docPr id="30" name="图片 30" descr="543585066393614505"/>
            <wp:cNvGraphicFramePr/>
            <a:graphic xmlns:a="http://schemas.openxmlformats.org/drawingml/2006/main">
              <a:graphicData uri="http://schemas.openxmlformats.org/drawingml/2006/picture">
                <pic:pic xmlns:pic="http://schemas.openxmlformats.org/drawingml/2006/picture">
                  <pic:nvPicPr>
                    <pic:cNvPr id="30" name="图片 30" descr="543585066393614505"/>
                    <pic:cNvPicPr/>
                  </pic:nvPicPr>
                  <pic:blipFill>
                    <a:blip r:embed="rId29"/>
                    <a:stretch>
                      <a:fillRect/>
                    </a:stretch>
                  </pic:blipFill>
                  <pic:spPr>
                    <a:xfrm>
                      <a:off x="0" y="0"/>
                      <a:ext cx="6480175" cy="9749790"/>
                    </a:xfrm>
                    <a:prstGeom prst="rect">
                      <a:avLst/>
                    </a:prstGeom>
                  </pic:spPr>
                </pic:pic>
              </a:graphicData>
            </a:graphic>
          </wp:anchor>
        </w:drawing>
      </w:r>
      <w:r>
        <w:rPr>
          <w:rFonts w:hint="eastAsia"/>
          <w:lang w:val="en-US" w:eastAsia="zh-CN"/>
        </w:rPr>
        <w:t xml:space="preserve"> </w:t>
      </w:r>
    </w:p>
    <w:p>
      <w:pPr>
        <w:rPr>
          <w:rFonts w:hint="eastAsia" w:eastAsiaTheme="minorEastAsia"/>
          <w:lang w:eastAsia="zh-CN"/>
        </w:rPr>
        <w:sectPr>
          <w:pgSz w:w="11906" w:h="16838"/>
          <w:pgMar w:top="1440" w:right="1800" w:bottom="1440" w:left="1800" w:header="851" w:footer="992" w:gutter="0"/>
          <w:cols w:space="425" w:num="1"/>
          <w:docGrid w:type="lines" w:linePitch="312" w:charSpace="0"/>
        </w:sectPr>
      </w:pPr>
    </w:p>
    <w:p>
      <w:pPr>
        <w:jc w:val="both"/>
        <w:rPr>
          <w:rFonts w:hint="eastAsia" w:eastAsiaTheme="minorEastAsia"/>
          <w:lang w:eastAsia="zh-CN"/>
        </w:r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73600" behindDoc="1" locked="0" layoutInCell="1" allowOverlap="1">
            <wp:simplePos x="0" y="0"/>
            <wp:positionH relativeFrom="column">
              <wp:posOffset>-514350</wp:posOffset>
            </wp:positionH>
            <wp:positionV relativeFrom="paragraph">
              <wp:posOffset>87630</wp:posOffset>
            </wp:positionV>
            <wp:extent cx="6247130" cy="8657590"/>
            <wp:effectExtent l="0" t="0" r="1270" b="10160"/>
            <wp:wrapTight wrapText="bothSides">
              <wp:wrapPolygon>
                <wp:start x="0" y="0"/>
                <wp:lineTo x="0" y="21530"/>
                <wp:lineTo x="21539" y="21530"/>
                <wp:lineTo x="21539" y="0"/>
                <wp:lineTo x="0" y="0"/>
              </wp:wrapPolygon>
            </wp:wrapTight>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0"/>
                    <a:stretch>
                      <a:fillRect/>
                    </a:stretch>
                  </pic:blipFill>
                  <pic:spPr>
                    <a:xfrm>
                      <a:off x="0" y="0"/>
                      <a:ext cx="6247130" cy="8657590"/>
                    </a:xfrm>
                    <a:prstGeom prst="rect">
                      <a:avLst/>
                    </a:prstGeom>
                    <a:noFill/>
                    <a:ln>
                      <a:noFill/>
                    </a:ln>
                  </pic:spPr>
                </pic:pic>
              </a:graphicData>
            </a:graphic>
          </wp:anchor>
        </w:drawing>
      </w:r>
    </w:p>
    <w:p>
      <w:pPr>
        <w:keepNext w:val="0"/>
        <w:keepLines w:val="0"/>
        <w:widowControl/>
        <w:suppressLineNumbers w:val="0"/>
        <w:jc w:val="center"/>
        <w:rPr>
          <w:rFonts w:hint="eastAsia" w:eastAsiaTheme="minorEastAsia"/>
          <w:lang w:eastAsia="zh-CN"/>
        </w:rPr>
      </w:pPr>
      <w:r>
        <w:drawing>
          <wp:anchor distT="0" distB="0" distL="114300" distR="114300" simplePos="0" relativeHeight="251674624" behindDoc="1" locked="0" layoutInCell="1" allowOverlap="1">
            <wp:simplePos x="0" y="0"/>
            <wp:positionH relativeFrom="column">
              <wp:posOffset>-419100</wp:posOffset>
            </wp:positionH>
            <wp:positionV relativeFrom="paragraph">
              <wp:posOffset>106680</wp:posOffset>
            </wp:positionV>
            <wp:extent cx="6256020" cy="8324850"/>
            <wp:effectExtent l="0" t="0" r="11430" b="57150"/>
            <wp:wrapTight wrapText="bothSides">
              <wp:wrapPolygon>
                <wp:start x="0" y="0"/>
                <wp:lineTo x="0" y="21551"/>
                <wp:lineTo x="21508" y="21551"/>
                <wp:lineTo x="21508" y="0"/>
                <wp:lineTo x="0" y="0"/>
              </wp:wrapPolygon>
            </wp:wrapTight>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1"/>
                    <a:stretch>
                      <a:fillRect/>
                    </a:stretch>
                  </pic:blipFill>
                  <pic:spPr>
                    <a:xfrm>
                      <a:off x="0" y="0"/>
                      <a:ext cx="6256020" cy="8324850"/>
                    </a:xfrm>
                    <a:prstGeom prst="rect">
                      <a:avLst/>
                    </a:prstGeom>
                    <a:noFill/>
                    <a:ln>
                      <a:noFill/>
                    </a:ln>
                  </pic:spPr>
                </pic:pic>
              </a:graphicData>
            </a:graphic>
          </wp:anchor>
        </w:drawing>
      </w:r>
    </w:p>
    <w:p>
      <w:pPr>
        <w:tabs>
          <w:tab w:val="center" w:pos="4433"/>
        </w:tabs>
        <w:spacing w:line="360" w:lineRule="auto"/>
        <w:jc w:val="both"/>
        <w:rPr>
          <w:rFonts w:hint="default"/>
          <w:sz w:val="28"/>
          <w:szCs w:val="36"/>
          <w:lang w:val="en-US" w:eastAsia="zh-CN"/>
        </w:rPr>
      </w:pPr>
    </w:p>
    <w:sectPr>
      <w:headerReference r:id="rId4" w:type="default"/>
      <w:footerReference r:id="rId5" w:type="default"/>
      <w:pgSz w:w="11906" w:h="16838"/>
      <w:pgMar w:top="1327" w:right="1406" w:bottom="1157" w:left="1633" w:header="737" w:footer="567"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altName w:val="Arial"/>
    <w:panose1 w:val="020B0606020002030204"/>
    <w:charset w:val="00"/>
    <w:family w:val="swiss"/>
    <w:pitch w:val="default"/>
    <w:sig w:usb0="00000000" w:usb1="00000000" w:usb2="00000000" w:usb3="00000000" w:csb0="2000009F" w:csb1="DFD7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153"/>
        <w:tab w:val="right" w:pos="8306"/>
      </w:tabs>
      <w:jc w:val="center"/>
      <w:rPr>
        <w:rFonts w:hint="eastAsia"/>
      </w:rPr>
    </w:pPr>
    <w:r>
      <w:rPr>
        <w:sz w:val="20"/>
      </w:rPr>
      <mc:AlternateContent>
        <mc:Choice Requires="wps">
          <w:drawing>
            <wp:anchor distT="0" distB="0" distL="114300" distR="114300" simplePos="0" relativeHeight="251658240" behindDoc="0" locked="0" layoutInCell="0" allowOverlap="1">
              <wp:simplePos x="0" y="0"/>
              <wp:positionH relativeFrom="column">
                <wp:posOffset>-272415</wp:posOffset>
              </wp:positionH>
              <wp:positionV relativeFrom="paragraph">
                <wp:posOffset>85090</wp:posOffset>
              </wp:positionV>
              <wp:extent cx="5827395"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82739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45pt;margin-top:6.7pt;height:0pt;width:458.85pt;z-index:251658240;mso-width-relative:page;mso-height-relative:page;" filled="f" stroked="t" coordsize="21600,21600" o:allowincell="f" o:gfxdata="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uc5odYAAAAJAQAADwAAAAAAAAABACAAAAAiAAAAZHJzL2Rvd25yZXYueG1sUEsBAhQA&#10;FAAAAAgAh07iQNp1Cub0AQAA5AMAAA4AAAAAAAAAAQAgAAAAJQEAAGRycy9lMm9Eb2MueG1sUEsF&#10;BgAAAAAGAAYAWQEAAIsFAAAAAA==&#10;">
              <v:fill on="f" focussize="0,0"/>
              <v:stroke color="#000000" joinstyle="round"/>
              <v:imagedata o:title=""/>
              <o:lock v:ext="edit" aspectratio="f"/>
            </v:line>
          </w:pict>
        </mc:Fallback>
      </mc:AlternateContent>
    </w:r>
  </w:p>
  <w:p>
    <w:pPr>
      <w:pStyle w:val="7"/>
      <w:tabs>
        <w:tab w:val="center" w:pos="4153"/>
        <w:tab w:val="right" w:pos="8306"/>
      </w:tabs>
      <w:rPr>
        <w:rFonts w:hint="eastAsia" w:ascii="Arial Narrow" w:hAnsi="Arial Narrow"/>
      </w:rPr>
    </w:pPr>
    <w:r>
      <w:rPr>
        <w:rFonts w:hint="eastAsia" w:ascii="Arial Narrow" w:hAnsi="Arial Narrow"/>
        <w:b/>
      </w:rPr>
      <w:t xml:space="preserve">江苏三师土地房地产资产评估测绘咨询有限公司   地址： 江苏省南京市秦淮区解放路101号汇盈商都5楼               电话：025-68526810                       </w:t>
    </w:r>
    <w:r>
      <w:rPr>
        <w:rFonts w:ascii="Arial Narrow" w:hAnsi="Arial Narrow"/>
        <w:b/>
      </w:rPr>
      <w:t xml:space="preserve">   </w:t>
    </w:r>
    <w:r>
      <w:rPr>
        <w:rFonts w:hint="eastAsia" w:ascii="Arial Narrow" w:hAnsi="Arial Narrow"/>
        <w:b/>
      </w:rPr>
      <w:t xml:space="preserve">传真：025-83206029    </w:t>
    </w:r>
    <w:r>
      <w:rPr>
        <w:rFonts w:ascii="Arial Narrow" w:hAnsi="Arial Narrow"/>
        <w:b/>
      </w:rPr>
      <w:t xml:space="preserve">  </w:t>
    </w:r>
    <w:r>
      <w:rPr>
        <w:rFonts w:hint="eastAsia" w:ascii="Arial Narrow" w:hAnsi="Arial Narrow"/>
        <w:b/>
      </w:rPr>
      <w:t xml:space="preserve">              </w:t>
    </w:r>
    <w:r>
      <w:rPr>
        <w:rFonts w:hint="eastAsia" w:ascii="Arial Narrow" w:hAnsi="Arial Narrow"/>
        <w:b/>
        <w:szCs w:val="18"/>
      </w:rPr>
      <w:t xml:space="preserve">   </w:t>
    </w:r>
    <w:r>
      <w:rPr>
        <w:rFonts w:hint="eastAsia" w:ascii="Arial Narrow" w:hAnsi="Arial Narrow"/>
        <w:b/>
        <w:szCs w:val="18"/>
        <w:lang w:val="en-US" w:eastAsia="zh-CN"/>
      </w:rPr>
      <w:t xml:space="preserve">  </w:t>
    </w:r>
    <w:r>
      <w:rPr>
        <w:rStyle w:val="14"/>
        <w:rFonts w:hint="eastAsia" w:ascii="Arial Narrow" w:hAnsi="Arial Narrow"/>
        <w:b/>
        <w:szCs w:val="18"/>
      </w:rPr>
      <w:t>第</w:t>
    </w:r>
    <w:r>
      <w:rPr>
        <w:rFonts w:hint="eastAsia" w:ascii="Arial Narrow" w:hAnsi="Arial Narrow"/>
        <w:b/>
        <w:szCs w:val="18"/>
      </w:rPr>
      <w:fldChar w:fldCharType="begin"/>
    </w:r>
    <w:r>
      <w:rPr>
        <w:rStyle w:val="14"/>
        <w:rFonts w:hint="eastAsia" w:ascii="Arial Narrow" w:hAnsi="Arial Narrow"/>
        <w:b/>
        <w:szCs w:val="18"/>
      </w:rPr>
      <w:instrText xml:space="preserve"> PAGE </w:instrText>
    </w:r>
    <w:r>
      <w:rPr>
        <w:rFonts w:hint="eastAsia" w:ascii="Arial Narrow" w:hAnsi="Arial Narrow"/>
        <w:b/>
        <w:szCs w:val="18"/>
      </w:rPr>
      <w:fldChar w:fldCharType="separate"/>
    </w:r>
    <w:r>
      <w:rPr>
        <w:rStyle w:val="14"/>
        <w:rFonts w:ascii="Arial Narrow" w:hAnsi="Arial Narrow"/>
        <w:b/>
        <w:szCs w:val="18"/>
      </w:rPr>
      <w:t>10</w:t>
    </w:r>
    <w:r>
      <w:rPr>
        <w:rFonts w:hint="eastAsia" w:ascii="Arial Narrow" w:hAnsi="Arial Narrow"/>
        <w:b/>
        <w:szCs w:val="18"/>
      </w:rPr>
      <w:fldChar w:fldCharType="end"/>
    </w:r>
    <w:r>
      <w:rPr>
        <w:rStyle w:val="14"/>
        <w:rFonts w:hint="eastAsia" w:ascii="Arial Narrow" w:hAnsi="Arial Narrow"/>
        <w:b/>
        <w:szCs w:val="18"/>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ind w:right="26"/>
      <w:jc w:val="right"/>
      <w:rPr>
        <w:rFonts w:hint="eastAsia" w:ascii="Arial Narrow" w:hAnsi="Arial Narrow"/>
        <w:bCs/>
        <w:w w:val="80"/>
        <w:szCs w:val="21"/>
      </w:rPr>
    </w:pPr>
  </w:p>
  <w:p>
    <w:pPr>
      <w:pBdr>
        <w:bottom w:val="single" w:color="auto" w:sz="4" w:space="0"/>
      </w:pBdr>
      <w:ind w:right="26"/>
      <w:jc w:val="center"/>
      <w:rPr>
        <w:rFonts w:hint="eastAsia" w:ascii="Arial Narrow" w:hAnsi="Arial Narrow"/>
        <w:bCs/>
        <w:w w:val="80"/>
        <w:szCs w:val="21"/>
      </w:rPr>
    </w:pPr>
    <w:r>
      <w:rPr>
        <w:rFonts w:hint="eastAsia" w:ascii="Arial Narrow" w:hAnsi="Arial Narrow"/>
        <w:bCs/>
        <w:w w:val="80"/>
        <w:szCs w:val="21"/>
        <w:lang w:eastAsia="zh-CN"/>
      </w:rPr>
      <w:t>江苏省剑丰农业实业有限公司</w:t>
    </w:r>
    <w:r>
      <w:rPr>
        <w:rFonts w:hint="eastAsia" w:ascii="Arial Narrow" w:hAnsi="Arial Narrow"/>
        <w:bCs/>
        <w:w w:val="80"/>
        <w:szCs w:val="21"/>
      </w:rPr>
      <w:t>拟</w:t>
    </w:r>
    <w:r>
      <w:rPr>
        <w:rFonts w:hint="eastAsia" w:ascii="Arial Narrow" w:hAnsi="Arial Narrow"/>
        <w:bCs/>
        <w:w w:val="80"/>
        <w:szCs w:val="21"/>
        <w:lang w:val="en-US" w:eastAsia="zh-CN"/>
      </w:rPr>
      <w:t>收购</w:t>
    </w:r>
    <w:r>
      <w:rPr>
        <w:rFonts w:hint="eastAsia" w:ascii="Arial Narrow" w:hAnsi="Arial Narrow"/>
        <w:bCs/>
        <w:w w:val="80"/>
        <w:szCs w:val="21"/>
        <w:lang w:eastAsia="zh-CN"/>
      </w:rPr>
      <w:t>盐城大丰天州机械制造有限公司所属房屋建筑物及土地使用权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342EDA"/>
    <w:multiLevelType w:val="singleLevel"/>
    <w:tmpl w:val="BC342EDA"/>
    <w:lvl w:ilvl="0" w:tentative="0">
      <w:start w:val="2"/>
      <w:numFmt w:val="chineseCounting"/>
      <w:suff w:val="nothing"/>
      <w:lvlText w:val="（%1）"/>
      <w:lvlJc w:val="left"/>
      <w:rPr>
        <w:rFonts w:hint="eastAsia"/>
      </w:rPr>
    </w:lvl>
  </w:abstractNum>
  <w:abstractNum w:abstractNumId="1">
    <w:nsid w:val="00000001"/>
    <w:multiLevelType w:val="singleLevel"/>
    <w:tmpl w:val="00000001"/>
    <w:lvl w:ilvl="0" w:tentative="0">
      <w:start w:val="1"/>
      <w:numFmt w:val="decimal"/>
      <w:lvlText w:val="%1."/>
      <w:lvlJc w:val="left"/>
      <w:pPr>
        <w:ind w:left="425" w:hanging="425"/>
      </w:pPr>
      <w:rPr>
        <w:rFonts w:hint="default"/>
      </w:rPr>
    </w:lvl>
  </w:abstractNum>
  <w:abstractNum w:abstractNumId="2">
    <w:nsid w:val="00000002"/>
    <w:multiLevelType w:val="singleLevel"/>
    <w:tmpl w:val="00000002"/>
    <w:lvl w:ilvl="0" w:tentative="0">
      <w:start w:val="7"/>
      <w:numFmt w:val="chineseCounting"/>
      <w:suff w:val="nothing"/>
      <w:lvlText w:val="%1、"/>
      <w:lvlJc w:val="left"/>
      <w:rPr>
        <w:rFonts w:hint="eastAsia"/>
      </w:rPr>
    </w:lvl>
  </w:abstractNum>
  <w:abstractNum w:abstractNumId="3">
    <w:nsid w:val="00000003"/>
    <w:multiLevelType w:val="singleLevel"/>
    <w:tmpl w:val="00000003"/>
    <w:lvl w:ilvl="0" w:tentative="0">
      <w:start w:val="2"/>
      <w:numFmt w:val="upperLetter"/>
      <w:suff w:val="nothing"/>
      <w:lvlText w:val="%1、"/>
      <w:lvlJc w:val="left"/>
    </w:lvl>
  </w:abstractNum>
  <w:abstractNum w:abstractNumId="4">
    <w:nsid w:val="00000004"/>
    <w:multiLevelType w:val="singleLevel"/>
    <w:tmpl w:val="00000004"/>
    <w:lvl w:ilvl="0" w:tentative="0">
      <w:start w:val="4"/>
      <w:numFmt w:val="chineseCounting"/>
      <w:suff w:val="nothing"/>
      <w:lvlText w:val="（%1）"/>
      <w:lvlJc w:val="left"/>
      <w:rPr>
        <w:rFonts w:hint="eastAsia"/>
      </w:rPr>
    </w:lvl>
  </w:abstractNum>
  <w:abstractNum w:abstractNumId="5">
    <w:nsid w:val="00000005"/>
    <w:multiLevelType w:val="singleLevel"/>
    <w:tmpl w:val="00000005"/>
    <w:lvl w:ilvl="0" w:tentative="0">
      <w:start w:val="1"/>
      <w:numFmt w:val="decimal"/>
      <w:suff w:val="nothing"/>
      <w:lvlText w:val="%1．"/>
      <w:lvlJc w:val="left"/>
      <w:pPr>
        <w:ind w:left="0" w:firstLine="400"/>
      </w:pPr>
      <w:rPr>
        <w:rFonts w:hint="default"/>
      </w:rPr>
    </w:lvl>
  </w:abstractNum>
  <w:abstractNum w:abstractNumId="6">
    <w:nsid w:val="00000006"/>
    <w:multiLevelType w:val="singleLevel"/>
    <w:tmpl w:val="00000006"/>
    <w:lvl w:ilvl="0" w:tentative="0">
      <w:start w:val="1"/>
      <w:numFmt w:val="decimal"/>
      <w:suff w:val="nothing"/>
      <w:lvlText w:val="%1."/>
      <w:lvlJc w:val="left"/>
    </w:lvl>
  </w:abstractNum>
  <w:abstractNum w:abstractNumId="7">
    <w:nsid w:val="00000007"/>
    <w:multiLevelType w:val="singleLevel"/>
    <w:tmpl w:val="00000007"/>
    <w:lvl w:ilvl="0" w:tentative="0">
      <w:start w:val="1"/>
      <w:numFmt w:val="decimal"/>
      <w:lvlText w:val="%1."/>
      <w:lvlJc w:val="left"/>
      <w:pPr>
        <w:ind w:left="425" w:hanging="425"/>
      </w:pPr>
      <w:rPr>
        <w:rFonts w:hint="default"/>
      </w:rPr>
    </w:lvl>
  </w:abstractNum>
  <w:abstractNum w:abstractNumId="8">
    <w:nsid w:val="200347CD"/>
    <w:multiLevelType w:val="singleLevel"/>
    <w:tmpl w:val="200347CD"/>
    <w:lvl w:ilvl="0" w:tentative="0">
      <w:start w:val="2"/>
      <w:numFmt w:val="decimal"/>
      <w:suff w:val="nothing"/>
      <w:lvlText w:val="%1、"/>
      <w:lvlJc w:val="left"/>
    </w:lvl>
  </w:abstractNum>
  <w:abstractNum w:abstractNumId="9">
    <w:nsid w:val="4607B397"/>
    <w:multiLevelType w:val="singleLevel"/>
    <w:tmpl w:val="4607B397"/>
    <w:lvl w:ilvl="0" w:tentative="0">
      <w:start w:val="2"/>
      <w:numFmt w:val="decimal"/>
      <w:suff w:val="nothing"/>
      <w:lvlText w:val="%1、"/>
      <w:lvlJc w:val="left"/>
    </w:lvl>
  </w:abstractNum>
  <w:num w:numId="1">
    <w:abstractNumId w:val="2"/>
  </w:num>
  <w:num w:numId="2">
    <w:abstractNumId w:val="9"/>
  </w:num>
  <w:num w:numId="3">
    <w:abstractNumId w:val="6"/>
  </w:num>
  <w:num w:numId="4">
    <w:abstractNumId w:val="4"/>
  </w:num>
  <w:num w:numId="5">
    <w:abstractNumId w:val="7"/>
  </w:num>
  <w:num w:numId="6">
    <w:abstractNumId w:val="5"/>
  </w:num>
  <w:num w:numId="7">
    <w:abstractNumId w:val="1"/>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F32633"/>
    <w:rsid w:val="2F1C1E70"/>
    <w:rsid w:val="444C51D0"/>
    <w:rsid w:val="4BE96D94"/>
    <w:rsid w:val="504C4BB3"/>
    <w:rsid w:val="59F10B7C"/>
    <w:rsid w:val="5A521186"/>
    <w:rsid w:val="5CEC27AE"/>
    <w:rsid w:val="68103E04"/>
    <w:rsid w:val="740D1D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widowControl w:val="0"/>
      <w:spacing w:before="120" w:after="120"/>
      <w:ind w:left="0" w:right="0"/>
      <w:jc w:val="both"/>
      <w:outlineLvl w:val="0"/>
    </w:pPr>
    <w:rPr>
      <w:rFonts w:ascii="Calibri" w:hAnsi="Calibri" w:eastAsia="宋体" w:cs="Times New Roman"/>
      <w:b/>
      <w:bCs/>
      <w:kern w:val="44"/>
      <w:sz w:val="36"/>
      <w:szCs w:val="44"/>
      <w:lang w:val="en-US" w:eastAsia="zh-CN" w:bidi="ar-SA"/>
    </w:rPr>
  </w:style>
  <w:style w:type="paragraph" w:styleId="3">
    <w:name w:val="heading 2"/>
    <w:basedOn w:val="1"/>
    <w:next w:val="1"/>
    <w:qFormat/>
    <w:uiPriority w:val="0"/>
    <w:pPr>
      <w:keepNext/>
      <w:keepLines/>
      <w:widowControl w:val="0"/>
      <w:spacing w:before="200" w:after="60" w:line="360" w:lineRule="auto"/>
      <w:ind w:left="0" w:right="0"/>
      <w:jc w:val="both"/>
      <w:outlineLvl w:val="1"/>
    </w:pPr>
    <w:rPr>
      <w:rFonts w:ascii="Cambria" w:hAnsi="Cambria" w:eastAsia="宋体" w:cs="Times New Roman"/>
      <w:b/>
      <w:bCs/>
      <w:kern w:val="2"/>
      <w:sz w:val="24"/>
      <w:szCs w:val="32"/>
      <w:lang w:val="en-US" w:eastAsia="zh-CN" w:bidi="ar-SA"/>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widowControl w:val="0"/>
      <w:adjustRightInd w:val="0"/>
      <w:spacing w:before="120" w:after="0" w:line="360" w:lineRule="auto"/>
      <w:ind w:left="0" w:right="0" w:firstLine="420"/>
      <w:jc w:val="both"/>
    </w:pPr>
    <w:rPr>
      <w:rFonts w:ascii="Calibri" w:hAnsi="Calibri" w:eastAsia="宋体" w:cs="Times New Roman"/>
      <w:kern w:val="2"/>
      <w:sz w:val="21"/>
      <w:szCs w:val="24"/>
      <w:lang w:val="en-US" w:eastAsia="zh-CN" w:bidi="ar-SA"/>
    </w:rPr>
  </w:style>
  <w:style w:type="paragraph" w:styleId="5">
    <w:name w:val="Plain Text"/>
    <w:basedOn w:val="1"/>
    <w:qFormat/>
    <w:uiPriority w:val="0"/>
    <w:pPr>
      <w:widowControl w:val="0"/>
      <w:spacing w:after="0"/>
      <w:ind w:firstLine="420"/>
      <w:jc w:val="both"/>
    </w:pPr>
    <w:rPr>
      <w:rFonts w:ascii="宋体" w:hAnsi="Courier New" w:eastAsia="宋体" w:cs="Times New Roman"/>
      <w:kern w:val="0"/>
      <w:sz w:val="24"/>
      <w:szCs w:val="20"/>
      <w:lang w:val="en-US" w:eastAsia="zh-CN" w:bidi="ar-SA"/>
    </w:rPr>
  </w:style>
  <w:style w:type="paragraph" w:styleId="6">
    <w:name w:val="Balloon Text"/>
    <w:basedOn w:val="1"/>
    <w:qFormat/>
    <w:uiPriority w:val="0"/>
    <w:pPr>
      <w:widowControl w:val="0"/>
      <w:spacing w:after="0"/>
      <w:jc w:val="both"/>
    </w:pPr>
    <w:rPr>
      <w:rFonts w:ascii="Times New Roman" w:hAnsi="Times New Roman" w:eastAsia="宋体" w:cs="Times New Roman"/>
      <w:kern w:val="2"/>
      <w:sz w:val="18"/>
      <w:szCs w:val="18"/>
      <w:lang w:val="en-US" w:eastAsia="zh-CN" w:bidi="ar-SA"/>
    </w:rPr>
  </w:style>
  <w:style w:type="paragraph" w:styleId="7">
    <w:name w:val="footer"/>
    <w:basedOn w:val="1"/>
    <w:qFormat/>
    <w:uiPriority w:val="0"/>
    <w:pPr>
      <w:widowControl w:val="0"/>
      <w:tabs>
        <w:tab w:val="center" w:pos="4140"/>
        <w:tab w:val="right" w:pos="8300"/>
      </w:tabs>
      <w:adjustRightInd w:val="0"/>
      <w:spacing w:after="0" w:line="240" w:lineRule="atLeast"/>
      <w:jc w:val="left"/>
    </w:pPr>
    <w:rPr>
      <w:rFonts w:ascii="Times New Roman" w:hAnsi="Times New Roman" w:eastAsia="宋体" w:cs="Times New Roman"/>
      <w:kern w:val="2"/>
      <w:sz w:val="18"/>
      <w:szCs w:val="24"/>
      <w:lang w:val="en-US" w:eastAsia="zh-CN" w:bidi="ar-SA"/>
    </w:rPr>
  </w:style>
  <w:style w:type="paragraph" w:styleId="8">
    <w:name w:val="header"/>
    <w:basedOn w:val="1"/>
    <w:qFormat/>
    <w:uiPriority w:val="0"/>
    <w:pPr>
      <w:widowControl w:val="0"/>
      <w:pBdr>
        <w:bottom w:val="single" w:color="auto" w:sz="6" w:space="1"/>
      </w:pBdr>
      <w:tabs>
        <w:tab w:val="center" w:pos="4140"/>
        <w:tab w:val="right" w:pos="8300"/>
      </w:tabs>
      <w:snapToGrid w:val="0"/>
      <w:spacing w:after="0"/>
      <w:jc w:val="center"/>
    </w:pPr>
    <w:rPr>
      <w:rFonts w:ascii="Times New Roman" w:hAnsi="Times New Roman" w:eastAsia="宋体" w:cs="Times New Roman"/>
      <w:kern w:val="2"/>
      <w:sz w:val="18"/>
      <w:szCs w:val="24"/>
      <w:lang w:val="en-US" w:eastAsia="zh-CN" w:bidi="ar-SA"/>
    </w:rPr>
  </w:style>
  <w:style w:type="paragraph" w:styleId="9">
    <w:name w:val="toc 1"/>
    <w:basedOn w:val="1"/>
    <w:next w:val="1"/>
    <w:qFormat/>
    <w:uiPriority w:val="0"/>
    <w:pPr>
      <w:widowControl w:val="0"/>
      <w:spacing w:after="0" w:line="360" w:lineRule="auto"/>
      <w:jc w:val="both"/>
    </w:pPr>
    <w:rPr>
      <w:rFonts w:ascii="Calibri" w:hAnsi="Calibri" w:eastAsia="宋体" w:cs="Times New Roman"/>
      <w:b/>
      <w:bCs/>
      <w:kern w:val="2"/>
      <w:sz w:val="24"/>
      <w:szCs w:val="24"/>
      <w:lang w:val="en-US" w:eastAsia="zh-CN" w:bidi="ar-SA"/>
    </w:rPr>
  </w:style>
  <w:style w:type="paragraph" w:styleId="10">
    <w:name w:val="toc 2"/>
    <w:basedOn w:val="1"/>
    <w:next w:val="1"/>
    <w:qFormat/>
    <w:uiPriority w:val="0"/>
    <w:pPr>
      <w:widowControl w:val="0"/>
      <w:tabs>
        <w:tab w:val="right" w:leader="dot" w:pos="9060"/>
      </w:tabs>
      <w:spacing w:before="0" w:after="0" w:line="360" w:lineRule="auto"/>
      <w:ind w:left="200" w:leftChars="200" w:right="0"/>
      <w:jc w:val="both"/>
    </w:pPr>
    <w:rPr>
      <w:rFonts w:ascii="Calibri" w:hAnsi="Calibri" w:eastAsia="宋体" w:cs="Times New Roman"/>
      <w:kern w:val="2"/>
      <w:sz w:val="21"/>
      <w:szCs w:val="24"/>
      <w:lang w:val="en-US" w:eastAsia="zh-CN" w:bidi="ar-SA"/>
    </w:rPr>
  </w:style>
  <w:style w:type="paragraph" w:styleId="11">
    <w:name w:val="Title"/>
    <w:basedOn w:val="1"/>
    <w:qFormat/>
    <w:uiPriority w:val="0"/>
    <w:pPr>
      <w:widowControl w:val="0"/>
      <w:spacing w:before="0" w:after="60"/>
      <w:ind w:left="0" w:right="0"/>
      <w:jc w:val="center"/>
      <w:outlineLvl w:val="0"/>
    </w:pPr>
    <w:rPr>
      <w:rFonts w:ascii="Arial" w:hAnsi="Arial" w:eastAsia="宋体" w:cs="Times New Roman"/>
      <w:b/>
      <w:bCs/>
      <w:kern w:val="2"/>
      <w:sz w:val="32"/>
      <w:szCs w:val="20"/>
      <w:lang w:val="en-US" w:eastAsia="zh-CN" w:bidi="ar-SA"/>
    </w:rPr>
  </w:style>
  <w:style w:type="character" w:styleId="14">
    <w:name w:val="page number"/>
    <w:basedOn w:val="13"/>
    <w:qFormat/>
    <w:uiPriority w:val="0"/>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wmf"/><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2021-01-19T07:55:00Z</dcterms:created>
  <dc:creator>Administrator</dc:creator>
  <cp:lastModifiedBy>军俊</cp:lastModifiedBy>
  <cp:lastPrinted>2021-01-29T06:52:00Z</cp:lastPrinted>
  <dcterms:modified xsi:type="dcterms:W3CDTF">2021-02-01T02:12:05Z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